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12" w:rsidRPr="00AC7939" w:rsidRDefault="00103E12" w:rsidP="00103E12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noProof/>
          <w:sz w:val="24"/>
          <w:szCs w:val="24"/>
          <w:lang w:val="en-AU" w:eastAsia="lv-LV" w:bidi="lo-LA"/>
        </w:rPr>
      </w:pPr>
      <w:r w:rsidRPr="00AC7939">
        <w:rPr>
          <w:rFonts w:ascii="Times New Roman" w:eastAsia="Times New Roman" w:hAnsi="Times New Roman" w:cs="Courier New"/>
          <w:b/>
          <w:noProof/>
          <w:sz w:val="24"/>
          <w:szCs w:val="24"/>
          <w:lang w:val="en-AU" w:eastAsia="lv-LV" w:bidi="lo-LA"/>
        </w:rPr>
        <w:t>L Ē M U M S</w:t>
      </w:r>
    </w:p>
    <w:p w:rsidR="00103E12" w:rsidRPr="00AC7939" w:rsidRDefault="00103E12" w:rsidP="00103E12">
      <w:pPr>
        <w:spacing w:after="0" w:line="240" w:lineRule="auto"/>
        <w:jc w:val="center"/>
        <w:rPr>
          <w:rFonts w:ascii="Times New Roman" w:eastAsia="Times New Roman" w:hAnsi="Times New Roman" w:cs="Courier New"/>
          <w:noProof/>
          <w:sz w:val="24"/>
          <w:szCs w:val="24"/>
          <w:lang w:val="en-AU" w:eastAsia="lv-LV" w:bidi="lo-LA"/>
        </w:rPr>
      </w:pPr>
      <w:r w:rsidRPr="00AC7939">
        <w:rPr>
          <w:rFonts w:ascii="Times New Roman" w:eastAsia="Times New Roman" w:hAnsi="Times New Roman" w:cs="Courier New"/>
          <w:noProof/>
          <w:sz w:val="24"/>
          <w:szCs w:val="24"/>
          <w:lang w:val="en-AU" w:eastAsia="lv-LV" w:bidi="lo-LA"/>
        </w:rPr>
        <w:t>Tukumā</w:t>
      </w:r>
    </w:p>
    <w:p w:rsidR="00103E12" w:rsidRDefault="00103E12" w:rsidP="00103E12">
      <w:pPr>
        <w:rPr>
          <w:rFonts w:ascii="Times New Roman" w:eastAsia="Times New Roman" w:hAnsi="Times New Roman" w:cs="Courier New"/>
          <w:noProof/>
          <w:sz w:val="24"/>
          <w:szCs w:val="24"/>
          <w:lang w:val="en-AU" w:eastAsia="lv-LV" w:bidi="lo-LA"/>
        </w:rPr>
      </w:pPr>
      <w:r w:rsidRPr="00AC7939">
        <w:rPr>
          <w:rFonts w:ascii="Times New Roman" w:eastAsia="Times New Roman" w:hAnsi="Times New Roman" w:cs="Courier New"/>
          <w:noProof/>
          <w:sz w:val="24"/>
          <w:szCs w:val="24"/>
          <w:lang w:val="en-AU" w:eastAsia="lv-LV" w:bidi="lo-LA"/>
        </w:rPr>
        <w:t>2015.gada 27.augustā</w:t>
      </w:r>
      <w:r w:rsidRPr="00AC7939">
        <w:rPr>
          <w:rFonts w:ascii="Times New Roman" w:eastAsia="Times New Roman" w:hAnsi="Times New Roman" w:cs="Courier New"/>
          <w:noProof/>
          <w:sz w:val="24"/>
          <w:szCs w:val="24"/>
          <w:lang w:val="en-AU" w:eastAsia="lv-LV" w:bidi="lo-LA"/>
        </w:rPr>
        <w:tab/>
      </w:r>
      <w:r w:rsidRPr="00AC7939">
        <w:rPr>
          <w:rFonts w:ascii="Times New Roman" w:eastAsia="Times New Roman" w:hAnsi="Times New Roman" w:cs="Courier New"/>
          <w:noProof/>
          <w:sz w:val="24"/>
          <w:szCs w:val="24"/>
          <w:lang w:val="en-AU" w:eastAsia="lv-LV" w:bidi="lo-LA"/>
        </w:rPr>
        <w:tab/>
      </w:r>
      <w:r w:rsidRPr="00AC7939">
        <w:rPr>
          <w:rFonts w:ascii="Times New Roman" w:eastAsia="Times New Roman" w:hAnsi="Times New Roman" w:cs="Courier New"/>
          <w:noProof/>
          <w:sz w:val="24"/>
          <w:szCs w:val="24"/>
          <w:lang w:val="en-AU" w:eastAsia="lv-LV" w:bidi="lo-LA"/>
        </w:rPr>
        <w:tab/>
      </w:r>
      <w:r w:rsidRPr="00AC7939">
        <w:rPr>
          <w:rFonts w:ascii="Times New Roman" w:eastAsia="Times New Roman" w:hAnsi="Times New Roman" w:cs="Courier New"/>
          <w:noProof/>
          <w:sz w:val="24"/>
          <w:szCs w:val="24"/>
          <w:lang w:val="en-AU" w:eastAsia="lv-LV" w:bidi="lo-LA"/>
        </w:rPr>
        <w:tab/>
      </w:r>
      <w:r w:rsidRPr="00AC7939">
        <w:rPr>
          <w:rFonts w:ascii="Times New Roman" w:eastAsia="Times New Roman" w:hAnsi="Times New Roman" w:cs="Courier New"/>
          <w:noProof/>
          <w:sz w:val="24"/>
          <w:szCs w:val="24"/>
          <w:lang w:val="en-AU" w:eastAsia="lv-LV" w:bidi="lo-LA"/>
        </w:rPr>
        <w:tab/>
      </w:r>
      <w:r w:rsidRPr="00AC7939">
        <w:rPr>
          <w:rFonts w:ascii="Times New Roman" w:eastAsia="Times New Roman" w:hAnsi="Times New Roman" w:cs="Courier New"/>
          <w:noProof/>
          <w:sz w:val="24"/>
          <w:szCs w:val="24"/>
          <w:lang w:val="en-AU" w:eastAsia="lv-LV" w:bidi="lo-LA"/>
        </w:rPr>
        <w:tab/>
      </w:r>
      <w:r w:rsidRPr="00AC7939">
        <w:rPr>
          <w:rFonts w:ascii="Times New Roman" w:eastAsia="Times New Roman" w:hAnsi="Times New Roman" w:cs="Courier New"/>
          <w:noProof/>
          <w:sz w:val="24"/>
          <w:szCs w:val="24"/>
          <w:lang w:val="en-AU" w:eastAsia="lv-LV" w:bidi="lo-LA"/>
        </w:rPr>
        <w:tab/>
        <w:t xml:space="preserve">                 prot.Nr.10,</w:t>
      </w:r>
      <w:r>
        <w:rPr>
          <w:rFonts w:ascii="Times New Roman" w:eastAsia="Times New Roman" w:hAnsi="Times New Roman" w:cs="Courier New"/>
          <w:noProof/>
          <w:sz w:val="24"/>
          <w:szCs w:val="24"/>
          <w:lang w:val="en-AU" w:eastAsia="lv-LV" w:bidi="lo-LA"/>
        </w:rPr>
        <w:t xml:space="preserve"> 20.</w:t>
      </w:r>
      <w:r w:rsidRPr="00AC7939">
        <w:rPr>
          <w:rFonts w:ascii="Times New Roman" w:eastAsia="Times New Roman" w:hAnsi="Times New Roman" w:cs="Courier New"/>
          <w:noProof/>
          <w:sz w:val="24"/>
          <w:szCs w:val="24"/>
          <w:lang w:val="en-AU" w:eastAsia="lv-LV" w:bidi="lo-LA"/>
        </w:rPr>
        <w:t>§.</w:t>
      </w:r>
    </w:p>
    <w:p w:rsidR="00103E12" w:rsidRDefault="00103E12" w:rsidP="00103E12">
      <w:pPr>
        <w:rPr>
          <w:rFonts w:ascii="Times New Roman" w:eastAsia="Times New Roman" w:hAnsi="Times New Roman" w:cs="Courier New"/>
          <w:noProof/>
          <w:sz w:val="24"/>
          <w:szCs w:val="24"/>
          <w:lang w:val="en-AU" w:eastAsia="lv-LV" w:bidi="lo-LA"/>
        </w:rPr>
      </w:pPr>
    </w:p>
    <w:p w:rsidR="00103E12" w:rsidRDefault="00103E12" w:rsidP="00103E12">
      <w:pPr>
        <w:rPr>
          <w:rFonts w:ascii="Times New Roman" w:hAnsi="Times New Roman" w:cs="Times New Roman"/>
          <w:b/>
          <w:sz w:val="24"/>
          <w:szCs w:val="24"/>
        </w:rPr>
      </w:pPr>
    </w:p>
    <w:p w:rsidR="00103E12" w:rsidRDefault="00103E12" w:rsidP="00103E1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  <w:t xml:space="preserve">Par projekta „Pašvaldības autoceļu pārbūve </w:t>
      </w:r>
    </w:p>
    <w:p w:rsidR="00103E12" w:rsidRPr="004656AC" w:rsidRDefault="00103E12" w:rsidP="00103E1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  <w:t>Tukuma novadā” objektu atlases kritērijiem</w:t>
      </w:r>
    </w:p>
    <w:p w:rsidR="00103E12" w:rsidRDefault="00103E12" w:rsidP="00103E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103E12" w:rsidRDefault="00103E12" w:rsidP="00103E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103E12" w:rsidRDefault="00103E12" w:rsidP="00103E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</w:p>
    <w:p w:rsidR="00103E12" w:rsidRPr="00093026" w:rsidRDefault="00103E12" w:rsidP="00103E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  <w:r w:rsidRPr="00093026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Saskaņā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ar Ministra kabineta </w:t>
      </w:r>
      <w:r w:rsidRPr="003C4B8A">
        <w:rPr>
          <w:rFonts w:ascii="Times New Roman" w:eastAsia="Calibri" w:hAnsi="Times New Roman" w:cs="Times New Roman"/>
          <w:sz w:val="24"/>
          <w:szCs w:val="24"/>
          <w:lang w:eastAsia="lv-LV"/>
        </w:rPr>
        <w:t>18.08.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2015. noteikumu </w:t>
      </w:r>
      <w:r w:rsidRPr="00E634FD">
        <w:rPr>
          <w:rFonts w:ascii="Times New Roman" w:eastAsia="Calibri" w:hAnsi="Times New Roman" w:cs="Times New Roman"/>
          <w:sz w:val="24"/>
          <w:szCs w:val="24"/>
          <w:lang w:eastAsia="lv-LV"/>
        </w:rPr>
        <w:t>Nr.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475 „Valsts un Eiropas Savienības atbalsta piešķiršanas kārtība pasākumā „Pamatpakalpojumi un ciematu atjaunošana lauku apvidos” atklātu projektu iesniegumu konkursu veidā” 8.punktu un 18.8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apakšpunktu, pašvaldība ar Domes lēmumu nosaka atlases kritērijus</w:t>
      </w:r>
      <w:r w:rsidRPr="00EB7398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pašvaldības autoceļiem, kuri tiek izvēlēti pārbūvēt </w:t>
      </w:r>
      <w:r w:rsidRPr="00804626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iropas Lauksaimniecības fonda lauku attīstībai </w:t>
      </w:r>
      <w:r w:rsidRPr="00804626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pasākuma „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Pamatpakalpojumi un ciematu atjaunošana lauku apvidos</w:t>
      </w:r>
      <w:r w:rsidRPr="00804626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”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projekta</w:t>
      </w:r>
      <w:r w:rsidRPr="00804626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„Pašvaldības autoceļu pārbūve Tukuma novadā"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(turpmāk – projekta) ietvaros.</w:t>
      </w:r>
    </w:p>
    <w:p w:rsidR="00103E12" w:rsidRDefault="00103E12" w:rsidP="00103E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:rsidR="00103E12" w:rsidRPr="00804626" w:rsidRDefault="00103E12" w:rsidP="00103E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1. </w:t>
      </w:r>
      <w:r w:rsidRPr="00804626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Apstiprināt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projektā </w:t>
      </w:r>
      <w:r w:rsidRPr="00804626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ietverto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s </w:t>
      </w:r>
      <w:r w:rsidRPr="00804626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atlases kritērijus</w:t>
      </w:r>
      <w:r w:rsidRPr="00EB7398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pašvaldības autoceļiem</w:t>
      </w:r>
      <w:r w:rsidRPr="00804626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:</w:t>
      </w:r>
    </w:p>
    <w:p w:rsidR="00103E12" w:rsidRPr="00D87D9B" w:rsidRDefault="00103E12" w:rsidP="00103E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D9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1.1.</w:t>
      </w:r>
      <w:r w:rsidRPr="00D8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pašvaldības autoceļa nozīmīgums</w:t>
      </w:r>
      <w:r w:rsidRPr="00D8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pasākuma mērķa – uzņēmējdarbības attīstība, </w:t>
      </w:r>
      <w:r w:rsidRPr="00D87D9B">
        <w:rPr>
          <w:rFonts w:ascii="Times New Roman" w:hAnsi="Times New Roman" w:cs="Times New Roman"/>
          <w:sz w:val="24"/>
          <w:szCs w:val="24"/>
        </w:rPr>
        <w:t>sasniegšanai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3E12" w:rsidRPr="00D87D9B" w:rsidRDefault="00103E12" w:rsidP="00103E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lauksaimnieciskās ražošanas un pārstrādes u</w:t>
      </w:r>
      <w:r w:rsidRPr="00D87D9B">
        <w:rPr>
          <w:rFonts w:ascii="Times New Roman" w:hAnsi="Times New Roman" w:cs="Times New Roman"/>
          <w:sz w:val="24"/>
          <w:szCs w:val="24"/>
        </w:rPr>
        <w:t xml:space="preserve">zņēmumu skaits, </w:t>
      </w:r>
      <w:proofErr w:type="gramStart"/>
      <w:r w:rsidRPr="00D87D9B">
        <w:rPr>
          <w:rFonts w:ascii="Times New Roman" w:hAnsi="Times New Roman" w:cs="Times New Roman"/>
          <w:sz w:val="24"/>
          <w:szCs w:val="24"/>
        </w:rPr>
        <w:t xml:space="preserve">kuri </w:t>
      </w:r>
      <w:r>
        <w:rPr>
          <w:rFonts w:ascii="Times New Roman" w:hAnsi="Times New Roman" w:cs="Times New Roman"/>
          <w:sz w:val="24"/>
          <w:szCs w:val="24"/>
        </w:rPr>
        <w:t>projektā plānoto ceļu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izmanto savas uzņēmējdarbības nodrošināšanai,</w:t>
      </w:r>
    </w:p>
    <w:p w:rsidR="00103E12" w:rsidRDefault="00103E12" w:rsidP="00103E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u</w:t>
      </w:r>
      <w:r w:rsidRPr="00D87D9B">
        <w:rPr>
          <w:rFonts w:ascii="Times New Roman" w:hAnsi="Times New Roman" w:cs="Times New Roman"/>
          <w:sz w:val="24"/>
          <w:szCs w:val="24"/>
        </w:rPr>
        <w:t xml:space="preserve">zņēmuma </w:t>
      </w:r>
      <w:r>
        <w:rPr>
          <w:rFonts w:ascii="Times New Roman" w:hAnsi="Times New Roman" w:cs="Times New Roman"/>
          <w:sz w:val="24"/>
          <w:szCs w:val="24"/>
        </w:rPr>
        <w:t xml:space="preserve">apgrozījums </w:t>
      </w:r>
      <w:r w:rsidRPr="00D87D9B">
        <w:rPr>
          <w:rFonts w:ascii="Times New Roman" w:hAnsi="Times New Roman" w:cs="Times New Roman"/>
          <w:sz w:val="24"/>
          <w:szCs w:val="24"/>
        </w:rPr>
        <w:t>un nodarbināto skaits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3E12" w:rsidRDefault="00103E12" w:rsidP="00103E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1.1.3. pievadceļu izbūve pie uzņēmējdarbības objektiem </w:t>
      </w:r>
      <w:r w:rsidRPr="00804626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iropas Lauksaimniecības fonda lauku attīstībai </w:t>
      </w:r>
      <w:r w:rsidRPr="00804626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pasākuma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„Ieguldījumi materiālajos aktīvos”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apakšpasākuma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„Atbalsts ieguldījumiem lauksaimniecības un mežsaimniecības infrastruktūras attīstībā” projekta ietvaros;</w:t>
      </w:r>
    </w:p>
    <w:p w:rsidR="00103E12" w:rsidRPr="00D87D9B" w:rsidRDefault="00103E12" w:rsidP="00103E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3E12" w:rsidRPr="00D87D9B" w:rsidRDefault="00103E12" w:rsidP="00103E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D9B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pašvaldības autoceļa nozīmīgums</w:t>
      </w:r>
      <w:r w:rsidRPr="00D8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pasākuma mērķa – apdzīvotības saglabāšanās, </w:t>
      </w:r>
      <w:r w:rsidRPr="00D87D9B">
        <w:rPr>
          <w:rFonts w:ascii="Times New Roman" w:hAnsi="Times New Roman" w:cs="Times New Roman"/>
          <w:sz w:val="24"/>
          <w:szCs w:val="24"/>
        </w:rPr>
        <w:t>sasniegšanai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3E12" w:rsidRDefault="00103E12" w:rsidP="00103E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iedzīvotāju skaits pagastā (Pilsonības un migrācijas lietu pārvaldes (PMLP) dati uz gada sākumu),</w:t>
      </w:r>
    </w:p>
    <w:p w:rsidR="00103E12" w:rsidRDefault="00103E12" w:rsidP="00103E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1.2.2. publisko objektu skaits (izglītības iestāde, pakalpojuma centrs, kultūras/tautas nams u.c.) pagastā, </w:t>
      </w:r>
    </w:p>
    <w:p w:rsidR="00103E12" w:rsidRDefault="00103E12" w:rsidP="00103E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 nekustamo īpašumu skaits, kas atrodas projektā plānoto ceļu posmā,</w:t>
      </w:r>
    </w:p>
    <w:p w:rsidR="00103E12" w:rsidRDefault="00103E12" w:rsidP="00103E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1.2.4. skolēnu pārvadājumu nodrošināšana, projektā plānoto ceļu posmā;</w:t>
      </w:r>
    </w:p>
    <w:p w:rsidR="00103E12" w:rsidRDefault="00103E12" w:rsidP="00103E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3E12" w:rsidRPr="00D87D9B" w:rsidRDefault="00103E12" w:rsidP="00103E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pašvaldības autoceļa tehniskā stāvokļa vērtējums (kritisks, neapmierinošs vai daļēji apmierinošs) pēc tehniskās apsekošanas atzinuma</w:t>
      </w:r>
      <w:r w:rsidRPr="00D87D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3E12" w:rsidRPr="00964483" w:rsidRDefault="00103E12" w:rsidP="00103E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964483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64483">
        <w:rPr>
          <w:rFonts w:ascii="Times New Roman" w:hAnsi="Times New Roman" w:cs="Times New Roman"/>
          <w:sz w:val="24"/>
          <w:szCs w:val="24"/>
        </w:rPr>
        <w:t>estspēja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3E12" w:rsidRPr="00964483" w:rsidRDefault="00103E12" w:rsidP="00103E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grants seguma</w:t>
      </w:r>
      <w:r w:rsidRPr="00964483">
        <w:rPr>
          <w:rFonts w:ascii="Times New Roman" w:hAnsi="Times New Roman" w:cs="Times New Roman"/>
          <w:sz w:val="24"/>
          <w:szCs w:val="24"/>
        </w:rPr>
        <w:t xml:space="preserve"> nodilums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3E12" w:rsidRPr="00964483" w:rsidRDefault="00103E12" w:rsidP="00103E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964483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ū</w:t>
      </w:r>
      <w:r w:rsidRPr="00964483">
        <w:rPr>
          <w:rFonts w:ascii="Times New Roman" w:hAnsi="Times New Roman" w:cs="Times New Roman"/>
          <w:sz w:val="24"/>
          <w:szCs w:val="24"/>
        </w:rPr>
        <w:t>dens atvadīšanas sistēmas neesamība.</w:t>
      </w:r>
    </w:p>
    <w:p w:rsidR="00103E12" w:rsidRPr="00D87D9B" w:rsidRDefault="00103E12" w:rsidP="00103E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3E12" w:rsidRDefault="00103E12" w:rsidP="00103E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2. Informēt projektā iesaistītos vietējos uzņēmējus publiskās apspriedēs par apstiprinātajiem atlases kritērijiem un tos ievērot projekta izstrādes laikā.</w:t>
      </w:r>
    </w:p>
    <w:p w:rsidR="00103E12" w:rsidRDefault="00103E12" w:rsidP="00103E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:rsidR="00103E12" w:rsidRDefault="00103E12" w:rsidP="00103E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:rsidR="00103E12" w:rsidRDefault="00103E12" w:rsidP="00103E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:rsidR="00103E12" w:rsidRDefault="00103E12" w:rsidP="0010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Ē.Lukmans</w:t>
      </w:r>
      <w:proofErr w:type="spellEnd"/>
    </w:p>
    <w:p w:rsidR="00103E12" w:rsidRDefault="00103E12" w:rsidP="0010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F75FE" w:rsidRDefault="002F75FE"/>
    <w:sectPr w:rsidR="002F75FE" w:rsidSect="009F59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12"/>
    <w:rsid w:val="00103E12"/>
    <w:rsid w:val="002F75FE"/>
    <w:rsid w:val="009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5B47B-C3F8-4C4A-A9F9-23BBE153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59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E12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Aiga.Priede</dc:creator>
  <cp:keywords/>
  <dc:description/>
  <cp:lastModifiedBy>Aiga.Priede</cp:lastModifiedBy>
  <cp:revision>1</cp:revision>
  <dcterms:created xsi:type="dcterms:W3CDTF">2015-10-15T10:45:00Z</dcterms:created>
  <dcterms:modified xsi:type="dcterms:W3CDTF">2015-10-15T10:47:00Z</dcterms:modified>
</cp:coreProperties>
</file>