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7E" w:rsidRPr="002614C4" w:rsidRDefault="00F36F7E" w:rsidP="00F36F7E">
      <w:pPr>
        <w:jc w:val="right"/>
        <w:rPr>
          <w:b/>
        </w:rPr>
      </w:pPr>
      <w:r>
        <w:rPr>
          <w:b/>
        </w:rPr>
        <w:t>5. </w:t>
      </w:r>
      <w:r w:rsidRPr="002614C4">
        <w:rPr>
          <w:b/>
        </w:rPr>
        <w:t xml:space="preserve">pielikums </w:t>
      </w:r>
    </w:p>
    <w:p w:rsidR="00F36F7E" w:rsidRPr="0037334A" w:rsidRDefault="00F36F7E" w:rsidP="00F36F7E">
      <w:pPr>
        <w:jc w:val="right"/>
      </w:pPr>
      <w:r w:rsidRPr="0037334A">
        <w:t>atklāta konkursa “Tukuma pilsētas ielu apgaismojuma</w:t>
      </w:r>
    </w:p>
    <w:p w:rsidR="00F36F7E" w:rsidRPr="003629C0" w:rsidRDefault="00F36F7E" w:rsidP="00F36F7E">
      <w:pPr>
        <w:jc w:val="right"/>
        <w:rPr>
          <w:sz w:val="18"/>
          <w:szCs w:val="18"/>
        </w:rPr>
      </w:pPr>
      <w:r w:rsidRPr="0037334A">
        <w:t>tīklu apsaimniekošana</w:t>
      </w:r>
      <w:r>
        <w:t xml:space="preserve"> </w:t>
      </w:r>
      <w:proofErr w:type="gramStart"/>
      <w:r>
        <w:t>2018. – 2023.</w:t>
      </w:r>
      <w:proofErr w:type="gramEnd"/>
      <w:r>
        <w:t xml:space="preserve"> gadā</w:t>
      </w:r>
      <w:r>
        <w:rPr>
          <w:bCs/>
        </w:rPr>
        <w:t xml:space="preserve">” </w:t>
      </w:r>
      <w:r w:rsidRPr="00F877FF">
        <w:t>nolikumam</w:t>
      </w:r>
    </w:p>
    <w:p w:rsidR="00F36F7E" w:rsidRDefault="00F36F7E" w:rsidP="00F36F7E">
      <w:pPr>
        <w:jc w:val="right"/>
      </w:pPr>
      <w:r w:rsidRPr="003629C0">
        <w:t xml:space="preserve"> (iepirkuma id</w:t>
      </w:r>
      <w:r>
        <w:t xml:space="preserve">entifikācijas Nr. TND – </w:t>
      </w:r>
      <w:r w:rsidRPr="0037334A">
        <w:t>2018/15</w:t>
      </w:r>
      <w:r w:rsidRPr="003629C0">
        <w:t>)</w:t>
      </w:r>
    </w:p>
    <w:p w:rsidR="00F36F7E" w:rsidRDefault="00F36F7E" w:rsidP="00F36F7E"/>
    <w:p w:rsidR="00F36F7E" w:rsidRPr="00487527" w:rsidRDefault="00F36F7E" w:rsidP="00F36F7E">
      <w:pPr>
        <w:rPr>
          <w:sz w:val="24"/>
          <w:szCs w:val="24"/>
        </w:rPr>
      </w:pPr>
    </w:p>
    <w:p w:rsidR="00F36F7E" w:rsidRPr="00487527" w:rsidRDefault="00F36F7E" w:rsidP="00F36F7E">
      <w:pPr>
        <w:pStyle w:val="Heading1"/>
        <w:keepNext w:val="0"/>
        <w:numPr>
          <w:ilvl w:val="0"/>
          <w:numId w:val="0"/>
        </w:numPr>
        <w:rPr>
          <w:rFonts w:ascii="Times New Roman" w:hAnsi="Times New Roman"/>
          <w:szCs w:val="24"/>
          <w:lang w:val="lv-LV"/>
        </w:rPr>
      </w:pPr>
      <w:bookmarkStart w:id="0" w:name="_Toc506844120"/>
      <w:r w:rsidRPr="00487527">
        <w:rPr>
          <w:rFonts w:ascii="Times New Roman" w:hAnsi="Times New Roman"/>
          <w:szCs w:val="24"/>
          <w:lang w:val="lv-LV"/>
        </w:rPr>
        <w:t>SAIMNIECISKI VISIZDEVĪGĀKĀ PIEDĀVĀJUMA NOTEIKŠANAS KĀRTĪBA</w:t>
      </w:r>
      <w:bookmarkEnd w:id="0"/>
    </w:p>
    <w:p w:rsidR="00F36F7E" w:rsidRPr="00F147E6" w:rsidRDefault="00F36F7E" w:rsidP="00F36F7E">
      <w:pPr>
        <w:ind w:firstLine="720"/>
        <w:jc w:val="both"/>
        <w:rPr>
          <w:sz w:val="22"/>
          <w:szCs w:val="22"/>
        </w:rPr>
      </w:pPr>
    </w:p>
    <w:p w:rsidR="00F36F7E" w:rsidRPr="00F147E6" w:rsidRDefault="00F36F7E" w:rsidP="00F36F7E">
      <w:pPr>
        <w:ind w:firstLine="720"/>
        <w:jc w:val="both"/>
        <w:rPr>
          <w:sz w:val="22"/>
          <w:szCs w:val="22"/>
        </w:rPr>
      </w:pPr>
      <w:r w:rsidRPr="00F147E6">
        <w:rPr>
          <w:sz w:val="22"/>
          <w:szCs w:val="22"/>
        </w:rPr>
        <w:t xml:space="preserve">Iepirkuma komisija nosaka saimnieciski visizdevīgāko piedāvājumu un Pretendentu, kura piedāvājums tiek </w:t>
      </w:r>
      <w:proofErr w:type="gramStart"/>
      <w:r w:rsidRPr="00F147E6">
        <w:rPr>
          <w:sz w:val="22"/>
          <w:szCs w:val="22"/>
        </w:rPr>
        <w:t>atzīts par saimnieciski visizdevīgāko</w:t>
      </w:r>
      <w:proofErr w:type="gramEnd"/>
      <w:r w:rsidRPr="00F147E6">
        <w:rPr>
          <w:sz w:val="22"/>
          <w:szCs w:val="22"/>
        </w:rPr>
        <w:t xml:space="preserve">, </w:t>
      </w:r>
      <w:r>
        <w:rPr>
          <w:sz w:val="22"/>
          <w:szCs w:val="22"/>
        </w:rPr>
        <w:t>atzīst par iepirkuma uzvarētāju</w:t>
      </w:r>
      <w:r w:rsidRPr="00F147E6">
        <w:rPr>
          <w:sz w:val="22"/>
          <w:szCs w:val="22"/>
        </w:rPr>
        <w:t xml:space="preserve">. </w:t>
      </w:r>
    </w:p>
    <w:p w:rsidR="00F36F7E" w:rsidRDefault="00F36F7E" w:rsidP="00F36F7E">
      <w:pPr>
        <w:ind w:firstLine="720"/>
        <w:jc w:val="both"/>
        <w:rPr>
          <w:sz w:val="22"/>
          <w:szCs w:val="22"/>
        </w:rPr>
      </w:pPr>
    </w:p>
    <w:p w:rsidR="00F36F7E" w:rsidRPr="001F7890" w:rsidRDefault="00F36F7E" w:rsidP="00F36F7E">
      <w:pPr>
        <w:tabs>
          <w:tab w:val="left" w:pos="567"/>
        </w:tabs>
        <w:overflowPunct w:val="0"/>
        <w:autoSpaceDE w:val="0"/>
        <w:autoSpaceDN w:val="0"/>
        <w:adjustRightInd w:val="0"/>
        <w:ind w:right="-6"/>
        <w:contextualSpacing/>
        <w:jc w:val="both"/>
        <w:textAlignment w:val="baseline"/>
        <w:rPr>
          <w:bCs/>
          <w:sz w:val="22"/>
          <w:szCs w:val="22"/>
        </w:rPr>
      </w:pPr>
      <w:r>
        <w:rPr>
          <w:noProof/>
          <w:sz w:val="22"/>
          <w:szCs w:val="22"/>
        </w:rPr>
        <w:tab/>
      </w:r>
      <w:r w:rsidRPr="001F7890">
        <w:rPr>
          <w:noProof/>
          <w:sz w:val="22"/>
          <w:szCs w:val="22"/>
        </w:rPr>
        <w:t xml:space="preserve">Komisija slēgtā sēdē salīdzina un vērtē tos piedāvājumus, kas nav </w:t>
      </w:r>
      <w:r>
        <w:rPr>
          <w:noProof/>
          <w:sz w:val="22"/>
          <w:szCs w:val="22"/>
        </w:rPr>
        <w:t>izslēgti saskaņā ar iepirkuma nolikuma 5.sadaļu “Piedāvājumu vērtēšana”</w:t>
      </w:r>
      <w:r w:rsidRPr="001F7890">
        <w:rPr>
          <w:noProof/>
          <w:sz w:val="22"/>
          <w:szCs w:val="22"/>
        </w:rPr>
        <w:t xml:space="preserve">, </w:t>
      </w:r>
      <w:r w:rsidRPr="001F7890">
        <w:rPr>
          <w:b/>
          <w:noProof/>
          <w:sz w:val="22"/>
          <w:szCs w:val="22"/>
        </w:rPr>
        <w:t>izvēloties saimnieciski izdevīgāko piedāvājumu</w:t>
      </w:r>
      <w:r w:rsidRPr="001F7890">
        <w:rPr>
          <w:noProof/>
          <w:sz w:val="22"/>
          <w:szCs w:val="22"/>
        </w:rPr>
        <w:t xml:space="preserve"> pēc šādiem kritērijiem</w:t>
      </w:r>
      <w:r w:rsidRPr="001F7890">
        <w:rPr>
          <w:bCs/>
          <w:sz w:val="22"/>
          <w:szCs w:val="22"/>
        </w:rPr>
        <w:t xml:space="preserve">: </w:t>
      </w:r>
    </w:p>
    <w:p w:rsidR="00F36F7E" w:rsidRDefault="00F36F7E" w:rsidP="00F36F7E">
      <w:pPr>
        <w:tabs>
          <w:tab w:val="left" w:pos="567"/>
        </w:tabs>
        <w:overflowPunct w:val="0"/>
        <w:autoSpaceDE w:val="0"/>
        <w:autoSpaceDN w:val="0"/>
        <w:adjustRightInd w:val="0"/>
        <w:ind w:right="-6"/>
        <w:contextualSpacing/>
        <w:jc w:val="both"/>
        <w:textAlignment w:val="baseline"/>
        <w:rPr>
          <w:noProof/>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
        <w:gridCol w:w="703"/>
        <w:gridCol w:w="5214"/>
        <w:gridCol w:w="1134"/>
        <w:gridCol w:w="2268"/>
      </w:tblGrid>
      <w:tr w:rsidR="00F36F7E" w:rsidRPr="00702991" w:rsidTr="00910864">
        <w:trPr>
          <w:cantSplit/>
          <w:trHeight w:val="659"/>
          <w:tblHeader/>
        </w:trPr>
        <w:tc>
          <w:tcPr>
            <w:tcW w:w="740" w:type="dxa"/>
            <w:gridSpan w:val="2"/>
            <w:vAlign w:val="center"/>
          </w:tcPr>
          <w:p w:rsidR="00F36F7E" w:rsidRPr="00702991" w:rsidRDefault="00F36F7E" w:rsidP="00910864">
            <w:pPr>
              <w:overflowPunct w:val="0"/>
              <w:autoSpaceDE w:val="0"/>
              <w:autoSpaceDN w:val="0"/>
              <w:adjustRightInd w:val="0"/>
              <w:ind w:right="-108"/>
              <w:contextualSpacing/>
              <w:jc w:val="center"/>
              <w:textAlignment w:val="baseline"/>
              <w:rPr>
                <w:b/>
                <w:sz w:val="22"/>
                <w:szCs w:val="22"/>
              </w:rPr>
            </w:pPr>
            <w:r w:rsidRPr="00702991">
              <w:rPr>
                <w:b/>
                <w:sz w:val="22"/>
                <w:szCs w:val="22"/>
              </w:rPr>
              <w:t>Nr.</w:t>
            </w:r>
          </w:p>
          <w:p w:rsidR="00F36F7E" w:rsidRPr="00702991" w:rsidRDefault="00F36F7E" w:rsidP="00910864">
            <w:pPr>
              <w:overflowPunct w:val="0"/>
              <w:autoSpaceDE w:val="0"/>
              <w:autoSpaceDN w:val="0"/>
              <w:adjustRightInd w:val="0"/>
              <w:ind w:right="-108"/>
              <w:contextualSpacing/>
              <w:jc w:val="center"/>
              <w:textAlignment w:val="baseline"/>
              <w:rPr>
                <w:b/>
                <w:sz w:val="22"/>
                <w:szCs w:val="22"/>
              </w:rPr>
            </w:pPr>
            <w:r w:rsidRPr="00702991">
              <w:rPr>
                <w:b/>
                <w:sz w:val="22"/>
                <w:szCs w:val="22"/>
              </w:rPr>
              <w:t>p.k.</w:t>
            </w:r>
          </w:p>
        </w:tc>
        <w:tc>
          <w:tcPr>
            <w:tcW w:w="5214" w:type="dxa"/>
            <w:vAlign w:val="center"/>
          </w:tcPr>
          <w:p w:rsidR="00F36F7E" w:rsidRPr="00702991" w:rsidRDefault="00F36F7E" w:rsidP="00910864">
            <w:pPr>
              <w:overflowPunct w:val="0"/>
              <w:autoSpaceDE w:val="0"/>
              <w:autoSpaceDN w:val="0"/>
              <w:adjustRightInd w:val="0"/>
              <w:ind w:right="34"/>
              <w:contextualSpacing/>
              <w:jc w:val="center"/>
              <w:textAlignment w:val="baseline"/>
              <w:rPr>
                <w:b/>
                <w:sz w:val="22"/>
                <w:szCs w:val="22"/>
              </w:rPr>
            </w:pPr>
            <w:r w:rsidRPr="00702991">
              <w:rPr>
                <w:b/>
                <w:sz w:val="22"/>
                <w:szCs w:val="22"/>
              </w:rPr>
              <w:t xml:space="preserve">Kritērijs </w:t>
            </w:r>
            <w:r w:rsidRPr="00702991">
              <w:rPr>
                <w:b/>
                <w:i/>
                <w:sz w:val="22"/>
                <w:szCs w:val="22"/>
              </w:rPr>
              <w:t>(kritērija piemērošanas pamatojums)</w:t>
            </w:r>
          </w:p>
        </w:tc>
        <w:tc>
          <w:tcPr>
            <w:tcW w:w="1134" w:type="dxa"/>
            <w:vAlign w:val="center"/>
          </w:tcPr>
          <w:p w:rsidR="00F36F7E" w:rsidRPr="00702991" w:rsidRDefault="00F36F7E" w:rsidP="00910864">
            <w:pPr>
              <w:overflowPunct w:val="0"/>
              <w:autoSpaceDE w:val="0"/>
              <w:autoSpaceDN w:val="0"/>
              <w:adjustRightInd w:val="0"/>
              <w:ind w:right="34"/>
              <w:contextualSpacing/>
              <w:jc w:val="center"/>
              <w:textAlignment w:val="baseline"/>
              <w:rPr>
                <w:b/>
                <w:sz w:val="22"/>
                <w:szCs w:val="22"/>
              </w:rPr>
            </w:pPr>
            <w:r w:rsidRPr="00702991">
              <w:rPr>
                <w:b/>
                <w:sz w:val="22"/>
                <w:szCs w:val="22"/>
              </w:rPr>
              <w:t>Apzī</w:t>
            </w:r>
            <w:r w:rsidRPr="00702991">
              <w:rPr>
                <w:b/>
                <w:sz w:val="22"/>
                <w:szCs w:val="22"/>
              </w:rPr>
              <w:softHyphen/>
              <w:t>mējumi</w:t>
            </w:r>
          </w:p>
        </w:tc>
        <w:tc>
          <w:tcPr>
            <w:tcW w:w="2268" w:type="dxa"/>
            <w:vAlign w:val="center"/>
          </w:tcPr>
          <w:p w:rsidR="00F36F7E" w:rsidRPr="00702991" w:rsidRDefault="00F36F7E" w:rsidP="00910864">
            <w:pPr>
              <w:overflowPunct w:val="0"/>
              <w:autoSpaceDE w:val="0"/>
              <w:autoSpaceDN w:val="0"/>
              <w:adjustRightInd w:val="0"/>
              <w:ind w:right="34"/>
              <w:contextualSpacing/>
              <w:jc w:val="center"/>
              <w:textAlignment w:val="baseline"/>
              <w:rPr>
                <w:b/>
                <w:sz w:val="22"/>
                <w:szCs w:val="22"/>
              </w:rPr>
            </w:pPr>
            <w:r w:rsidRPr="00702991">
              <w:rPr>
                <w:b/>
                <w:sz w:val="22"/>
                <w:szCs w:val="22"/>
              </w:rPr>
              <w:t>Maksimālais iespējamais punktu skaits par kritēriju</w:t>
            </w:r>
          </w:p>
        </w:tc>
      </w:tr>
      <w:tr w:rsidR="00F36F7E" w:rsidRPr="00702991" w:rsidTr="00910864">
        <w:trPr>
          <w:cantSplit/>
          <w:trHeight w:val="659"/>
          <w:tblHeader/>
        </w:trPr>
        <w:tc>
          <w:tcPr>
            <w:tcW w:w="740" w:type="dxa"/>
            <w:gridSpan w:val="2"/>
            <w:vAlign w:val="center"/>
          </w:tcPr>
          <w:p w:rsidR="00F36F7E" w:rsidRPr="00702991" w:rsidRDefault="00F36F7E" w:rsidP="00910864">
            <w:pPr>
              <w:jc w:val="center"/>
              <w:rPr>
                <w:sz w:val="22"/>
                <w:szCs w:val="22"/>
              </w:rPr>
            </w:pPr>
            <w:r w:rsidRPr="00702991">
              <w:rPr>
                <w:sz w:val="22"/>
                <w:szCs w:val="22"/>
              </w:rPr>
              <w:t>1.</w:t>
            </w:r>
          </w:p>
        </w:tc>
        <w:tc>
          <w:tcPr>
            <w:tcW w:w="5214" w:type="dxa"/>
            <w:vAlign w:val="center"/>
          </w:tcPr>
          <w:p w:rsidR="00F36F7E" w:rsidRPr="00702991" w:rsidRDefault="00F36F7E" w:rsidP="00910864">
            <w:pPr>
              <w:rPr>
                <w:sz w:val="22"/>
                <w:szCs w:val="22"/>
              </w:rPr>
            </w:pPr>
            <w:r w:rsidRPr="00702991">
              <w:rPr>
                <w:b/>
                <w:sz w:val="22"/>
                <w:szCs w:val="22"/>
                <w:u w:val="single"/>
              </w:rPr>
              <w:t>Pretendenta piedāvātā līgumcena bez PVN</w:t>
            </w:r>
            <w:r w:rsidRPr="00702991">
              <w:rPr>
                <w:sz w:val="22"/>
                <w:szCs w:val="22"/>
              </w:rPr>
              <w:t xml:space="preserve"> </w:t>
            </w:r>
            <w:r w:rsidRPr="00702991">
              <w:rPr>
                <w:i/>
                <w:sz w:val="22"/>
                <w:szCs w:val="22"/>
              </w:rPr>
              <w:t>(kritērijs saskaņā ar PIL 51. panta (2) daļas 2) punktu)</w:t>
            </w:r>
          </w:p>
        </w:tc>
        <w:tc>
          <w:tcPr>
            <w:tcW w:w="1134" w:type="dxa"/>
            <w:vAlign w:val="center"/>
          </w:tcPr>
          <w:p w:rsidR="00F36F7E" w:rsidRPr="00702991" w:rsidRDefault="00F36F7E" w:rsidP="00910864">
            <w:pPr>
              <w:jc w:val="center"/>
              <w:rPr>
                <w:b/>
                <w:sz w:val="22"/>
                <w:szCs w:val="22"/>
              </w:rPr>
            </w:pPr>
            <w:r w:rsidRPr="00702991">
              <w:rPr>
                <w:b/>
                <w:sz w:val="22"/>
                <w:szCs w:val="22"/>
              </w:rPr>
              <w:t>K1</w:t>
            </w:r>
          </w:p>
        </w:tc>
        <w:tc>
          <w:tcPr>
            <w:tcW w:w="2268" w:type="dxa"/>
            <w:vAlign w:val="center"/>
          </w:tcPr>
          <w:p w:rsidR="00F36F7E" w:rsidRPr="00702991" w:rsidRDefault="00F36F7E" w:rsidP="00910864">
            <w:pPr>
              <w:jc w:val="center"/>
              <w:rPr>
                <w:sz w:val="22"/>
                <w:szCs w:val="22"/>
              </w:rPr>
            </w:pPr>
            <w:r w:rsidRPr="00702991">
              <w:rPr>
                <w:sz w:val="22"/>
                <w:szCs w:val="22"/>
              </w:rPr>
              <w:t>60</w:t>
            </w:r>
          </w:p>
        </w:tc>
      </w:tr>
      <w:tr w:rsidR="00F36F7E" w:rsidRPr="00702991" w:rsidTr="00910864">
        <w:trPr>
          <w:cantSplit/>
          <w:trHeight w:val="659"/>
          <w:tblHeader/>
        </w:trPr>
        <w:tc>
          <w:tcPr>
            <w:tcW w:w="740" w:type="dxa"/>
            <w:gridSpan w:val="2"/>
            <w:vAlign w:val="center"/>
          </w:tcPr>
          <w:p w:rsidR="00F36F7E" w:rsidRPr="00702991" w:rsidRDefault="00F36F7E" w:rsidP="00910864">
            <w:pPr>
              <w:jc w:val="center"/>
              <w:rPr>
                <w:sz w:val="22"/>
                <w:szCs w:val="22"/>
              </w:rPr>
            </w:pPr>
            <w:r w:rsidRPr="00702991">
              <w:rPr>
                <w:sz w:val="22"/>
                <w:szCs w:val="22"/>
              </w:rPr>
              <w:t>2.</w:t>
            </w:r>
          </w:p>
        </w:tc>
        <w:tc>
          <w:tcPr>
            <w:tcW w:w="5214" w:type="dxa"/>
            <w:vAlign w:val="center"/>
          </w:tcPr>
          <w:p w:rsidR="00F36F7E" w:rsidRPr="00702991" w:rsidRDefault="00F36F7E" w:rsidP="00910864">
            <w:pPr>
              <w:rPr>
                <w:sz w:val="22"/>
                <w:szCs w:val="22"/>
              </w:rPr>
            </w:pPr>
            <w:r w:rsidRPr="00702991">
              <w:rPr>
                <w:b/>
                <w:sz w:val="22"/>
                <w:szCs w:val="22"/>
                <w:u w:val="single"/>
              </w:rPr>
              <w:t>Vides vadības sistēma</w:t>
            </w:r>
            <w:r w:rsidRPr="00702991">
              <w:rPr>
                <w:sz w:val="22"/>
                <w:szCs w:val="22"/>
              </w:rPr>
              <w:t xml:space="preserve"> </w:t>
            </w:r>
            <w:r w:rsidRPr="00702991">
              <w:rPr>
                <w:i/>
                <w:sz w:val="22"/>
                <w:szCs w:val="22"/>
              </w:rPr>
              <w:t>(kritērijs saskaņā ar PIL 51. panta (2) daļas 2) punkta a) apakšpunktu - vides aizsardzības prasības)</w:t>
            </w:r>
          </w:p>
        </w:tc>
        <w:tc>
          <w:tcPr>
            <w:tcW w:w="1134" w:type="dxa"/>
            <w:vAlign w:val="center"/>
          </w:tcPr>
          <w:p w:rsidR="00F36F7E" w:rsidRPr="00702991" w:rsidRDefault="00F36F7E" w:rsidP="00910864">
            <w:pPr>
              <w:jc w:val="center"/>
              <w:rPr>
                <w:b/>
                <w:sz w:val="22"/>
                <w:szCs w:val="22"/>
              </w:rPr>
            </w:pPr>
            <w:r w:rsidRPr="00702991">
              <w:rPr>
                <w:b/>
                <w:sz w:val="22"/>
                <w:szCs w:val="22"/>
              </w:rPr>
              <w:t>K2</w:t>
            </w:r>
          </w:p>
        </w:tc>
        <w:tc>
          <w:tcPr>
            <w:tcW w:w="2268" w:type="dxa"/>
            <w:vAlign w:val="center"/>
          </w:tcPr>
          <w:p w:rsidR="00F36F7E" w:rsidRPr="00702991" w:rsidRDefault="00F36F7E" w:rsidP="00910864">
            <w:pPr>
              <w:jc w:val="center"/>
              <w:rPr>
                <w:sz w:val="22"/>
                <w:szCs w:val="22"/>
              </w:rPr>
            </w:pPr>
            <w:r w:rsidRPr="00702991">
              <w:rPr>
                <w:sz w:val="22"/>
                <w:szCs w:val="22"/>
              </w:rPr>
              <w:t>10</w:t>
            </w:r>
          </w:p>
        </w:tc>
      </w:tr>
      <w:tr w:rsidR="00F36F7E" w:rsidRPr="00702991" w:rsidTr="00910864">
        <w:trPr>
          <w:cantSplit/>
          <w:trHeight w:val="659"/>
          <w:tblHeader/>
        </w:trPr>
        <w:tc>
          <w:tcPr>
            <w:tcW w:w="740" w:type="dxa"/>
            <w:gridSpan w:val="2"/>
            <w:vAlign w:val="center"/>
          </w:tcPr>
          <w:p w:rsidR="00F36F7E" w:rsidRPr="00702991" w:rsidRDefault="00F36F7E" w:rsidP="00910864">
            <w:pPr>
              <w:jc w:val="center"/>
              <w:rPr>
                <w:sz w:val="22"/>
                <w:szCs w:val="22"/>
              </w:rPr>
            </w:pPr>
            <w:r w:rsidRPr="00702991">
              <w:rPr>
                <w:sz w:val="22"/>
                <w:szCs w:val="22"/>
              </w:rPr>
              <w:t>3.</w:t>
            </w:r>
          </w:p>
        </w:tc>
        <w:tc>
          <w:tcPr>
            <w:tcW w:w="5214" w:type="dxa"/>
            <w:vAlign w:val="center"/>
          </w:tcPr>
          <w:p w:rsidR="00F36F7E" w:rsidRPr="00702991" w:rsidRDefault="00F36F7E" w:rsidP="00910864">
            <w:pPr>
              <w:rPr>
                <w:sz w:val="22"/>
                <w:szCs w:val="22"/>
              </w:rPr>
            </w:pPr>
            <w:r w:rsidRPr="00702991">
              <w:rPr>
                <w:b/>
                <w:sz w:val="22"/>
                <w:szCs w:val="22"/>
                <w:u w:val="single"/>
              </w:rPr>
              <w:t xml:space="preserve">Atbildīgā personāla pieredze specifiskā jomā </w:t>
            </w:r>
            <w:r w:rsidRPr="00702991">
              <w:rPr>
                <w:i/>
                <w:sz w:val="22"/>
                <w:szCs w:val="22"/>
              </w:rPr>
              <w:t>(kritērijs saskaņā ar PIL 51. panta (2) daļas 2) punkta b) apakšpunktu - iesaistītā personāla pieredze)</w:t>
            </w:r>
          </w:p>
        </w:tc>
        <w:tc>
          <w:tcPr>
            <w:tcW w:w="1134" w:type="dxa"/>
            <w:vAlign w:val="center"/>
          </w:tcPr>
          <w:p w:rsidR="00F36F7E" w:rsidRPr="00702991" w:rsidRDefault="00F36F7E" w:rsidP="00910864">
            <w:pPr>
              <w:jc w:val="center"/>
              <w:rPr>
                <w:b/>
                <w:sz w:val="22"/>
                <w:szCs w:val="22"/>
              </w:rPr>
            </w:pPr>
            <w:r w:rsidRPr="00702991">
              <w:rPr>
                <w:b/>
                <w:sz w:val="22"/>
                <w:szCs w:val="22"/>
              </w:rPr>
              <w:t>K3</w:t>
            </w:r>
          </w:p>
        </w:tc>
        <w:tc>
          <w:tcPr>
            <w:tcW w:w="2268" w:type="dxa"/>
            <w:vAlign w:val="center"/>
          </w:tcPr>
          <w:p w:rsidR="00F36F7E" w:rsidRPr="00702991" w:rsidRDefault="00F36F7E" w:rsidP="00910864">
            <w:pPr>
              <w:jc w:val="center"/>
              <w:rPr>
                <w:sz w:val="22"/>
                <w:szCs w:val="22"/>
              </w:rPr>
            </w:pPr>
            <w:r w:rsidRPr="00702991">
              <w:rPr>
                <w:sz w:val="22"/>
                <w:szCs w:val="22"/>
              </w:rPr>
              <w:t>10</w:t>
            </w:r>
          </w:p>
        </w:tc>
      </w:tr>
      <w:tr w:rsidR="00F36F7E" w:rsidRPr="00702991" w:rsidTr="00910864">
        <w:trPr>
          <w:cantSplit/>
          <w:trHeight w:val="659"/>
          <w:tblHeader/>
        </w:trPr>
        <w:tc>
          <w:tcPr>
            <w:tcW w:w="740" w:type="dxa"/>
            <w:gridSpan w:val="2"/>
            <w:vAlign w:val="center"/>
          </w:tcPr>
          <w:p w:rsidR="00F36F7E" w:rsidRPr="00702991" w:rsidRDefault="00F36F7E" w:rsidP="00910864">
            <w:pPr>
              <w:jc w:val="center"/>
              <w:rPr>
                <w:sz w:val="22"/>
                <w:szCs w:val="22"/>
              </w:rPr>
            </w:pPr>
            <w:r w:rsidRPr="00702991">
              <w:rPr>
                <w:sz w:val="22"/>
                <w:szCs w:val="22"/>
              </w:rPr>
              <w:t>4.</w:t>
            </w:r>
          </w:p>
        </w:tc>
        <w:tc>
          <w:tcPr>
            <w:tcW w:w="5214" w:type="dxa"/>
            <w:vAlign w:val="center"/>
          </w:tcPr>
          <w:p w:rsidR="00F36F7E" w:rsidRPr="00702991" w:rsidRDefault="00F36F7E" w:rsidP="00910864">
            <w:pPr>
              <w:rPr>
                <w:sz w:val="22"/>
                <w:szCs w:val="22"/>
              </w:rPr>
            </w:pPr>
            <w:r w:rsidRPr="00702991">
              <w:rPr>
                <w:b/>
                <w:sz w:val="22"/>
                <w:szCs w:val="22"/>
                <w:u w:val="single"/>
              </w:rPr>
              <w:t>Pakalpojuma sniegšanā izmantotā autotransporta izmešu līmenis</w:t>
            </w:r>
            <w:r w:rsidRPr="00702991">
              <w:rPr>
                <w:sz w:val="22"/>
                <w:szCs w:val="22"/>
              </w:rPr>
              <w:t xml:space="preserve"> </w:t>
            </w:r>
            <w:r w:rsidRPr="00702991">
              <w:rPr>
                <w:i/>
                <w:sz w:val="22"/>
                <w:szCs w:val="22"/>
              </w:rPr>
              <w:t>(kritērijs saskaņā ar PIL 51. panta (2) daļas 2) punkta a) apakšpunktu - vides aizsardzības prasības)</w:t>
            </w:r>
          </w:p>
        </w:tc>
        <w:tc>
          <w:tcPr>
            <w:tcW w:w="1134" w:type="dxa"/>
            <w:vAlign w:val="center"/>
          </w:tcPr>
          <w:p w:rsidR="00F36F7E" w:rsidRPr="00702991" w:rsidRDefault="00F36F7E" w:rsidP="00910864">
            <w:pPr>
              <w:jc w:val="center"/>
              <w:rPr>
                <w:b/>
                <w:sz w:val="22"/>
                <w:szCs w:val="22"/>
              </w:rPr>
            </w:pPr>
            <w:r w:rsidRPr="00702991">
              <w:rPr>
                <w:b/>
                <w:sz w:val="22"/>
                <w:szCs w:val="22"/>
              </w:rPr>
              <w:t>K4</w:t>
            </w:r>
          </w:p>
        </w:tc>
        <w:tc>
          <w:tcPr>
            <w:tcW w:w="2268" w:type="dxa"/>
            <w:vAlign w:val="center"/>
          </w:tcPr>
          <w:p w:rsidR="00F36F7E" w:rsidRPr="00702991" w:rsidRDefault="00F36F7E" w:rsidP="00910864">
            <w:pPr>
              <w:jc w:val="center"/>
              <w:rPr>
                <w:sz w:val="22"/>
                <w:szCs w:val="22"/>
              </w:rPr>
            </w:pPr>
            <w:r w:rsidRPr="00702991">
              <w:rPr>
                <w:sz w:val="22"/>
                <w:szCs w:val="22"/>
              </w:rPr>
              <w:t>10</w:t>
            </w:r>
          </w:p>
        </w:tc>
      </w:tr>
      <w:tr w:rsidR="00F36F7E" w:rsidRPr="00702991" w:rsidTr="00910864">
        <w:trPr>
          <w:cantSplit/>
          <w:trHeight w:val="659"/>
          <w:tblHeader/>
        </w:trPr>
        <w:tc>
          <w:tcPr>
            <w:tcW w:w="740" w:type="dxa"/>
            <w:gridSpan w:val="2"/>
            <w:vAlign w:val="center"/>
          </w:tcPr>
          <w:p w:rsidR="00F36F7E" w:rsidRPr="00702991" w:rsidRDefault="00F36F7E" w:rsidP="00910864">
            <w:pPr>
              <w:jc w:val="center"/>
              <w:rPr>
                <w:sz w:val="22"/>
                <w:szCs w:val="22"/>
              </w:rPr>
            </w:pPr>
            <w:r w:rsidRPr="00702991">
              <w:rPr>
                <w:sz w:val="22"/>
                <w:szCs w:val="22"/>
              </w:rPr>
              <w:t>5.</w:t>
            </w:r>
          </w:p>
        </w:tc>
        <w:tc>
          <w:tcPr>
            <w:tcW w:w="5214" w:type="dxa"/>
            <w:vAlign w:val="center"/>
          </w:tcPr>
          <w:p w:rsidR="00F36F7E" w:rsidRPr="00702991" w:rsidRDefault="00F36F7E" w:rsidP="00910864">
            <w:pPr>
              <w:rPr>
                <w:sz w:val="22"/>
                <w:szCs w:val="22"/>
              </w:rPr>
            </w:pPr>
            <w:r w:rsidRPr="00702991">
              <w:rPr>
                <w:b/>
                <w:sz w:val="22"/>
                <w:szCs w:val="22"/>
                <w:u w:val="single"/>
              </w:rPr>
              <w:t>Studiju prakses ietvaros nodarbinātas personas</w:t>
            </w:r>
            <w:r w:rsidRPr="00702991">
              <w:rPr>
                <w:sz w:val="22"/>
                <w:szCs w:val="22"/>
              </w:rPr>
              <w:t xml:space="preserve"> </w:t>
            </w:r>
            <w:r w:rsidRPr="00702991">
              <w:rPr>
                <w:i/>
                <w:sz w:val="22"/>
                <w:szCs w:val="22"/>
              </w:rPr>
              <w:t>(kritērijs saskaņā ar PIL 51. panta (2) daļas 2) punkta a) apakšpunktu – sociālās aizsardzības prasības)</w:t>
            </w:r>
          </w:p>
        </w:tc>
        <w:tc>
          <w:tcPr>
            <w:tcW w:w="1134" w:type="dxa"/>
            <w:vAlign w:val="center"/>
          </w:tcPr>
          <w:p w:rsidR="00F36F7E" w:rsidRPr="00702991" w:rsidRDefault="00F36F7E" w:rsidP="00910864">
            <w:pPr>
              <w:jc w:val="center"/>
              <w:rPr>
                <w:b/>
                <w:sz w:val="22"/>
                <w:szCs w:val="22"/>
              </w:rPr>
            </w:pPr>
            <w:r w:rsidRPr="00702991">
              <w:rPr>
                <w:b/>
                <w:sz w:val="22"/>
                <w:szCs w:val="22"/>
              </w:rPr>
              <w:t>K5</w:t>
            </w:r>
          </w:p>
        </w:tc>
        <w:tc>
          <w:tcPr>
            <w:tcW w:w="2268" w:type="dxa"/>
            <w:vAlign w:val="center"/>
          </w:tcPr>
          <w:p w:rsidR="00F36F7E" w:rsidRPr="00702991" w:rsidRDefault="00F36F7E" w:rsidP="00910864">
            <w:pPr>
              <w:jc w:val="center"/>
              <w:rPr>
                <w:sz w:val="22"/>
                <w:szCs w:val="22"/>
              </w:rPr>
            </w:pPr>
            <w:r w:rsidRPr="00702991">
              <w:rPr>
                <w:sz w:val="22"/>
                <w:szCs w:val="22"/>
              </w:rPr>
              <w:t>10</w:t>
            </w:r>
          </w:p>
        </w:tc>
      </w:tr>
      <w:tr w:rsidR="00F36F7E" w:rsidRPr="00702991" w:rsidTr="00910864">
        <w:trPr>
          <w:gridBefore w:val="1"/>
          <w:wBefore w:w="37" w:type="dxa"/>
          <w:cantSplit/>
          <w:trHeight w:val="377"/>
        </w:trPr>
        <w:tc>
          <w:tcPr>
            <w:tcW w:w="7051" w:type="dxa"/>
            <w:gridSpan w:val="3"/>
            <w:tcBorders>
              <w:left w:val="nil"/>
              <w:bottom w:val="nil"/>
            </w:tcBorders>
            <w:vAlign w:val="center"/>
          </w:tcPr>
          <w:p w:rsidR="00F36F7E" w:rsidRPr="00702991" w:rsidRDefault="00F36F7E" w:rsidP="00910864">
            <w:pPr>
              <w:ind w:right="34"/>
              <w:contextualSpacing/>
              <w:jc w:val="right"/>
              <w:rPr>
                <w:sz w:val="22"/>
                <w:szCs w:val="22"/>
              </w:rPr>
            </w:pPr>
            <w:r w:rsidRPr="00702991">
              <w:rPr>
                <w:b/>
                <w:sz w:val="22"/>
                <w:szCs w:val="22"/>
              </w:rPr>
              <w:t>Kopējais iespējamais punktu skaits</w:t>
            </w:r>
          </w:p>
        </w:tc>
        <w:tc>
          <w:tcPr>
            <w:tcW w:w="2268" w:type="dxa"/>
            <w:shd w:val="clear" w:color="auto" w:fill="FFFFFF"/>
            <w:vAlign w:val="center"/>
          </w:tcPr>
          <w:p w:rsidR="00F36F7E" w:rsidRPr="00702991" w:rsidRDefault="00F36F7E" w:rsidP="00910864">
            <w:pPr>
              <w:overflowPunct w:val="0"/>
              <w:autoSpaceDE w:val="0"/>
              <w:autoSpaceDN w:val="0"/>
              <w:adjustRightInd w:val="0"/>
              <w:ind w:right="34"/>
              <w:contextualSpacing/>
              <w:jc w:val="center"/>
              <w:textAlignment w:val="baseline"/>
              <w:rPr>
                <w:b/>
                <w:sz w:val="22"/>
                <w:szCs w:val="22"/>
              </w:rPr>
            </w:pPr>
            <w:r w:rsidRPr="00702991">
              <w:rPr>
                <w:b/>
                <w:sz w:val="22"/>
                <w:szCs w:val="22"/>
              </w:rPr>
              <w:t>100</w:t>
            </w:r>
          </w:p>
        </w:tc>
      </w:tr>
    </w:tbl>
    <w:p w:rsidR="00F36F7E" w:rsidRDefault="00F36F7E" w:rsidP="00F36F7E">
      <w:pPr>
        <w:numPr>
          <w:ilvl w:val="0"/>
          <w:numId w:val="2"/>
        </w:numPr>
        <w:tabs>
          <w:tab w:val="left" w:pos="567"/>
        </w:tabs>
        <w:overflowPunct w:val="0"/>
        <w:autoSpaceDE w:val="0"/>
        <w:autoSpaceDN w:val="0"/>
        <w:adjustRightInd w:val="0"/>
        <w:ind w:right="-6"/>
        <w:contextualSpacing/>
        <w:jc w:val="both"/>
        <w:textAlignment w:val="baseline"/>
        <w:rPr>
          <w:bCs/>
          <w:sz w:val="22"/>
          <w:szCs w:val="22"/>
        </w:rPr>
      </w:pPr>
      <w:r>
        <w:rPr>
          <w:bCs/>
          <w:sz w:val="22"/>
          <w:szCs w:val="22"/>
        </w:rPr>
        <w:t>Punktu piešķiršanas principi:</w:t>
      </w:r>
    </w:p>
    <w:p w:rsidR="00F36F7E" w:rsidRDefault="00F36F7E" w:rsidP="00F36F7E">
      <w:pPr>
        <w:pStyle w:val="NoSpacing"/>
        <w:jc w:val="both"/>
        <w:rPr>
          <w:rFonts w:ascii="Times New Roman" w:hAnsi="Times New Roman"/>
        </w:rPr>
      </w:pPr>
    </w:p>
    <w:p w:rsidR="00F36F7E" w:rsidRPr="000C4A22" w:rsidRDefault="00F36F7E" w:rsidP="00F36F7E">
      <w:pPr>
        <w:pStyle w:val="NoSpacing"/>
        <w:numPr>
          <w:ilvl w:val="1"/>
          <w:numId w:val="2"/>
        </w:numPr>
        <w:tabs>
          <w:tab w:val="clear" w:pos="360"/>
          <w:tab w:val="num" w:pos="0"/>
        </w:tabs>
        <w:ind w:left="0" w:firstLine="0"/>
        <w:jc w:val="both"/>
        <w:rPr>
          <w:rFonts w:ascii="Times New Roman" w:hAnsi="Times New Roman"/>
        </w:rPr>
      </w:pPr>
      <w:r>
        <w:rPr>
          <w:rFonts w:ascii="Times New Roman" w:hAnsi="Times New Roman"/>
          <w:b/>
        </w:rPr>
        <w:t>K1</w:t>
      </w:r>
      <w:r>
        <w:rPr>
          <w:rFonts w:ascii="Times New Roman" w:hAnsi="Times New Roman"/>
        </w:rPr>
        <w:t xml:space="preserve"> - </w:t>
      </w:r>
      <w:r w:rsidRPr="00523C67">
        <w:rPr>
          <w:rFonts w:ascii="Times New Roman" w:hAnsi="Times New Roman"/>
        </w:rPr>
        <w:t xml:space="preserve">Vērtēšanas kritērijs: </w:t>
      </w:r>
      <w:r w:rsidRPr="00B3708C">
        <w:rPr>
          <w:rFonts w:ascii="Times New Roman" w:hAnsi="Times New Roman"/>
          <w:b/>
          <w:u w:val="single"/>
        </w:rPr>
        <w:t>Pretendenta piedāvātā līgumcena bez PVN</w:t>
      </w:r>
      <w:r w:rsidRPr="00523C67">
        <w:rPr>
          <w:rFonts w:ascii="Times New Roman" w:hAnsi="Times New Roman"/>
        </w:rPr>
        <w:t xml:space="preserve">. </w:t>
      </w:r>
      <w:r w:rsidRPr="00042985">
        <w:rPr>
          <w:rFonts w:ascii="Times New Roman" w:hAnsi="Times New Roman"/>
        </w:rPr>
        <w:t>Vērtēšanā tik</w:t>
      </w:r>
      <w:r>
        <w:rPr>
          <w:rFonts w:ascii="Times New Roman" w:hAnsi="Times New Roman"/>
        </w:rPr>
        <w:t>s</w:t>
      </w:r>
      <w:r w:rsidRPr="00042985">
        <w:rPr>
          <w:rFonts w:ascii="Times New Roman" w:hAnsi="Times New Roman"/>
        </w:rPr>
        <w:t xml:space="preserve"> izmantotas pretendentu piedāvātās līgumcenas bez PVN, kas norādītas pretendentu Finanšu piedāvājumos</w:t>
      </w:r>
      <w:r w:rsidRPr="00523C67">
        <w:rPr>
          <w:rFonts w:ascii="Times New Roman" w:hAnsi="Times New Roman"/>
        </w:rPr>
        <w:t xml:space="preserve"> (Nolikuma </w:t>
      </w:r>
      <w:r>
        <w:rPr>
          <w:rFonts w:ascii="Times New Roman" w:hAnsi="Times New Roman"/>
        </w:rPr>
        <w:t>5</w:t>
      </w:r>
      <w:r w:rsidRPr="00042985">
        <w:rPr>
          <w:rFonts w:ascii="Times New Roman" w:hAnsi="Times New Roman"/>
        </w:rPr>
        <w:t>.pielikumā</w:t>
      </w:r>
      <w:r w:rsidRPr="00523C67">
        <w:rPr>
          <w:rFonts w:ascii="Times New Roman" w:hAnsi="Times New Roman"/>
        </w:rPr>
        <w:t>)</w:t>
      </w:r>
      <w:r>
        <w:rPr>
          <w:rFonts w:ascii="Times New Roman" w:hAnsi="Times New Roman"/>
        </w:rPr>
        <w:t>.</w:t>
      </w:r>
      <w:r w:rsidRPr="00523C67">
        <w:rPr>
          <w:rFonts w:ascii="Times New Roman" w:hAnsi="Times New Roman"/>
        </w:rPr>
        <w:t xml:space="preserve"> Vislētākais piedāvājums tiek vērtēts ar maksimāli iespējamo punktu skaitu – </w:t>
      </w:r>
      <w:r>
        <w:rPr>
          <w:rFonts w:ascii="Times New Roman" w:hAnsi="Times New Roman"/>
          <w:b/>
        </w:rPr>
        <w:t xml:space="preserve">60. </w:t>
      </w:r>
    </w:p>
    <w:p w:rsidR="00F36F7E" w:rsidRDefault="00F36F7E" w:rsidP="00F36F7E">
      <w:pPr>
        <w:pStyle w:val="NoSpacing"/>
        <w:jc w:val="both"/>
        <w:rPr>
          <w:rFonts w:ascii="Times New Roman" w:hAnsi="Times New Roman"/>
        </w:rPr>
      </w:pPr>
    </w:p>
    <w:p w:rsidR="00F36F7E" w:rsidRDefault="00F36F7E" w:rsidP="00F36F7E">
      <w:pPr>
        <w:pStyle w:val="NoSpacing"/>
        <w:jc w:val="both"/>
        <w:rPr>
          <w:rFonts w:ascii="Times New Roman" w:hAnsi="Times New Roman"/>
        </w:rPr>
      </w:pPr>
      <w:r>
        <w:rPr>
          <w:rFonts w:ascii="Times New Roman" w:hAnsi="Times New Roman"/>
        </w:rPr>
        <w:t xml:space="preserve">Punkti </w:t>
      </w:r>
      <w:r w:rsidRPr="00523C67">
        <w:rPr>
          <w:rFonts w:ascii="Times New Roman" w:hAnsi="Times New Roman"/>
        </w:rPr>
        <w:t>tiek aprēķināti pēc formulas:</w:t>
      </w:r>
    </w:p>
    <w:p w:rsidR="00F36F7E" w:rsidRPr="00021796" w:rsidRDefault="00F36F7E" w:rsidP="00F36F7E">
      <w:pPr>
        <w:jc w:val="both"/>
        <w:rPr>
          <w:sz w:val="22"/>
          <w:szCs w:val="22"/>
        </w:rPr>
      </w:pPr>
      <w:r>
        <w:rPr>
          <w:sz w:val="22"/>
          <w:szCs w:val="22"/>
        </w:rPr>
        <w:t>K</w:t>
      </w:r>
      <w:r w:rsidRPr="00021796">
        <w:rPr>
          <w:sz w:val="22"/>
          <w:szCs w:val="22"/>
        </w:rPr>
        <w:t xml:space="preserve">1 = </w:t>
      </w:r>
      <w:r>
        <w:rPr>
          <w:sz w:val="22"/>
          <w:szCs w:val="22"/>
        </w:rPr>
        <w:t>6</w:t>
      </w:r>
      <w:r w:rsidRPr="00021796">
        <w:rPr>
          <w:sz w:val="22"/>
          <w:szCs w:val="22"/>
        </w:rPr>
        <w:t xml:space="preserve">0 x </w:t>
      </w:r>
      <w:proofErr w:type="spellStart"/>
      <w:r w:rsidRPr="00021796">
        <w:rPr>
          <w:sz w:val="22"/>
          <w:szCs w:val="22"/>
        </w:rPr>
        <w:t>C</w:t>
      </w:r>
      <w:r w:rsidRPr="00021796">
        <w:rPr>
          <w:sz w:val="22"/>
          <w:szCs w:val="22"/>
          <w:vertAlign w:val="subscript"/>
        </w:rPr>
        <w:t>min</w:t>
      </w:r>
      <w:proofErr w:type="spellEnd"/>
      <w:r w:rsidRPr="00021796">
        <w:rPr>
          <w:sz w:val="22"/>
          <w:szCs w:val="22"/>
        </w:rPr>
        <w:t>/C, kur</w:t>
      </w:r>
    </w:p>
    <w:p w:rsidR="00F36F7E" w:rsidRPr="00021796" w:rsidRDefault="00F36F7E" w:rsidP="00F36F7E">
      <w:pPr>
        <w:jc w:val="both"/>
        <w:rPr>
          <w:sz w:val="22"/>
          <w:szCs w:val="22"/>
        </w:rPr>
      </w:pPr>
      <w:r>
        <w:rPr>
          <w:sz w:val="22"/>
          <w:szCs w:val="22"/>
        </w:rPr>
        <w:t>K</w:t>
      </w:r>
      <w:r w:rsidRPr="00021796">
        <w:rPr>
          <w:sz w:val="22"/>
          <w:szCs w:val="22"/>
        </w:rPr>
        <w:t>1 – kritērija novērtējuma rezultāts;</w:t>
      </w:r>
    </w:p>
    <w:p w:rsidR="00F36F7E" w:rsidRPr="00021796" w:rsidRDefault="00F36F7E" w:rsidP="00F36F7E">
      <w:pPr>
        <w:jc w:val="both"/>
        <w:rPr>
          <w:sz w:val="22"/>
          <w:szCs w:val="22"/>
        </w:rPr>
      </w:pPr>
      <w:r>
        <w:rPr>
          <w:sz w:val="22"/>
          <w:szCs w:val="22"/>
        </w:rPr>
        <w:t>6</w:t>
      </w:r>
      <w:r w:rsidRPr="00021796">
        <w:rPr>
          <w:sz w:val="22"/>
          <w:szCs w:val="22"/>
        </w:rPr>
        <w:t xml:space="preserve">0 – kritērijam maksimālais noteiktais iegūstamo punktu skaits; </w:t>
      </w:r>
    </w:p>
    <w:p w:rsidR="00F36F7E" w:rsidRPr="00021796" w:rsidRDefault="00F36F7E" w:rsidP="00F36F7E">
      <w:pPr>
        <w:pStyle w:val="BodyText"/>
        <w:widowControl/>
        <w:tabs>
          <w:tab w:val="left" w:pos="3240"/>
        </w:tabs>
        <w:spacing w:after="0"/>
        <w:jc w:val="both"/>
        <w:rPr>
          <w:rFonts w:ascii="Times New Roman" w:hAnsi="Times New Roman"/>
          <w:sz w:val="22"/>
          <w:szCs w:val="22"/>
        </w:rPr>
      </w:pPr>
      <w:proofErr w:type="spellStart"/>
      <w:r w:rsidRPr="00021796">
        <w:rPr>
          <w:rFonts w:ascii="Times New Roman" w:hAnsi="Times New Roman"/>
          <w:sz w:val="22"/>
          <w:szCs w:val="22"/>
        </w:rPr>
        <w:t>C</w:t>
      </w:r>
      <w:r w:rsidRPr="00021796">
        <w:rPr>
          <w:rFonts w:ascii="Times New Roman" w:hAnsi="Times New Roman"/>
          <w:sz w:val="22"/>
          <w:szCs w:val="22"/>
          <w:vertAlign w:val="subscript"/>
        </w:rPr>
        <w:t>min</w:t>
      </w:r>
      <w:proofErr w:type="spellEnd"/>
      <w:r w:rsidRPr="00021796">
        <w:rPr>
          <w:rFonts w:ascii="Times New Roman" w:hAnsi="Times New Roman"/>
          <w:sz w:val="22"/>
          <w:szCs w:val="22"/>
        </w:rPr>
        <w:t xml:space="preserve"> - mazākā no pretendentiem piedāvātā līgumcena;</w:t>
      </w:r>
    </w:p>
    <w:p w:rsidR="00F36F7E" w:rsidRPr="00021796" w:rsidRDefault="00F36F7E" w:rsidP="00F36F7E">
      <w:pPr>
        <w:pStyle w:val="NoSpacing"/>
        <w:rPr>
          <w:rFonts w:ascii="Times New Roman" w:hAnsi="Times New Roman"/>
        </w:rPr>
      </w:pPr>
      <w:r w:rsidRPr="00021796">
        <w:rPr>
          <w:rFonts w:ascii="Times New Roman" w:hAnsi="Times New Roman"/>
        </w:rPr>
        <w:t>C – vērtējamā piedāvājumā noteiktā līgumcena.</w:t>
      </w:r>
    </w:p>
    <w:p w:rsidR="00F36F7E" w:rsidRPr="001F7890" w:rsidRDefault="00F36F7E" w:rsidP="00F36F7E">
      <w:pPr>
        <w:pStyle w:val="NoSpacing"/>
        <w:rPr>
          <w:rFonts w:ascii="Times New Roman" w:hAnsi="Times New Roman"/>
        </w:rPr>
      </w:pPr>
    </w:p>
    <w:p w:rsidR="00F36F7E" w:rsidRDefault="00F36F7E" w:rsidP="00F36F7E">
      <w:pPr>
        <w:pStyle w:val="NoSpacing"/>
        <w:rPr>
          <w:rFonts w:ascii="Times New Roman" w:hAnsi="Times New Roman"/>
        </w:rPr>
      </w:pPr>
      <w:r w:rsidRPr="001F7890">
        <w:rPr>
          <w:rFonts w:ascii="Times New Roman" w:hAnsi="Times New Roman"/>
        </w:rPr>
        <w:t xml:space="preserve">Maksimāli pēc šī vērtēšanas kritērija var tikt piešķirti </w:t>
      </w:r>
      <w:r w:rsidRPr="00967C75">
        <w:rPr>
          <w:rFonts w:ascii="Times New Roman" w:hAnsi="Times New Roman"/>
          <w:b/>
        </w:rPr>
        <w:t>60</w:t>
      </w:r>
      <w:r w:rsidRPr="001F7890">
        <w:rPr>
          <w:rFonts w:ascii="Times New Roman" w:hAnsi="Times New Roman"/>
          <w:b/>
          <w:bCs/>
        </w:rPr>
        <w:t xml:space="preserve"> </w:t>
      </w:r>
      <w:r w:rsidRPr="001F7890">
        <w:rPr>
          <w:rFonts w:ascii="Times New Roman" w:hAnsi="Times New Roman"/>
        </w:rPr>
        <w:t>punkti</w:t>
      </w:r>
      <w:r>
        <w:rPr>
          <w:rFonts w:ascii="Times New Roman" w:hAnsi="Times New Roman"/>
        </w:rPr>
        <w:t>.</w:t>
      </w:r>
    </w:p>
    <w:p w:rsidR="00F36F7E" w:rsidRPr="001F7890" w:rsidRDefault="00F36F7E" w:rsidP="00F36F7E">
      <w:pPr>
        <w:pStyle w:val="NoSpacing"/>
        <w:rPr>
          <w:rFonts w:ascii="Times New Roman" w:eastAsia="Times New Roman" w:hAnsi="Times New Roman"/>
          <w:noProof/>
        </w:rPr>
      </w:pPr>
    </w:p>
    <w:p w:rsidR="00F36F7E" w:rsidRDefault="00F36F7E" w:rsidP="00F36F7E">
      <w:pPr>
        <w:pStyle w:val="NoSpacing"/>
        <w:numPr>
          <w:ilvl w:val="1"/>
          <w:numId w:val="2"/>
        </w:numPr>
        <w:tabs>
          <w:tab w:val="clear" w:pos="360"/>
          <w:tab w:val="num" w:pos="0"/>
        </w:tabs>
        <w:ind w:left="0" w:firstLine="0"/>
        <w:jc w:val="both"/>
        <w:rPr>
          <w:rFonts w:ascii="Times New Roman" w:hAnsi="Times New Roman"/>
        </w:rPr>
      </w:pPr>
      <w:r w:rsidRPr="00CF011A">
        <w:rPr>
          <w:rFonts w:ascii="Times New Roman" w:hAnsi="Times New Roman"/>
          <w:b/>
        </w:rPr>
        <w:t>K2</w:t>
      </w:r>
      <w:r w:rsidRPr="00CF011A">
        <w:rPr>
          <w:rFonts w:ascii="Times New Roman" w:hAnsi="Times New Roman"/>
        </w:rPr>
        <w:t xml:space="preserve"> - Vērtēšanas kritērijs: </w:t>
      </w:r>
      <w:r w:rsidRPr="00B3708C">
        <w:rPr>
          <w:rFonts w:ascii="Times New Roman" w:hAnsi="Times New Roman"/>
          <w:b/>
          <w:u w:val="single"/>
        </w:rPr>
        <w:t>Vides vadības sistēma</w:t>
      </w:r>
      <w:r>
        <w:rPr>
          <w:rFonts w:ascii="Times New Roman" w:hAnsi="Times New Roman"/>
        </w:rPr>
        <w:t>. Vērtēšanā ti</w:t>
      </w:r>
      <w:r w:rsidRPr="00CF011A">
        <w:rPr>
          <w:rFonts w:ascii="Times New Roman" w:hAnsi="Times New Roman"/>
        </w:rPr>
        <w:t>k</w:t>
      </w:r>
      <w:r>
        <w:rPr>
          <w:rFonts w:ascii="Times New Roman" w:hAnsi="Times New Roman"/>
        </w:rPr>
        <w:t>s</w:t>
      </w:r>
      <w:r w:rsidRPr="00CF011A">
        <w:rPr>
          <w:rFonts w:ascii="Times New Roman" w:hAnsi="Times New Roman"/>
        </w:rPr>
        <w:t xml:space="preserve"> izmantot</w:t>
      </w:r>
      <w:r>
        <w:rPr>
          <w:rFonts w:ascii="Times New Roman" w:hAnsi="Times New Roman"/>
        </w:rPr>
        <w:t xml:space="preserve">i pretendentu iesniegtie dokumenti, kas pierāda, ka uzņēmumā ir ieviesta un tiek uzturēta vides vadības sistēma un būvdarbu izpildē vides vadības </w:t>
      </w:r>
      <w:r w:rsidRPr="00192CB7">
        <w:rPr>
          <w:rFonts w:ascii="Times New Roman" w:hAnsi="Times New Roman"/>
        </w:rPr>
        <w:t xml:space="preserve">nodrošināšanas procesi tiks veikti atbilstoši uzņēmumā ieviestai </w:t>
      </w:r>
      <w:r>
        <w:rPr>
          <w:rFonts w:ascii="Times New Roman" w:hAnsi="Times New Roman"/>
        </w:rPr>
        <w:t xml:space="preserve">vides </w:t>
      </w:r>
      <w:r w:rsidRPr="00192CB7">
        <w:rPr>
          <w:rFonts w:ascii="Times New Roman" w:hAnsi="Times New Roman"/>
        </w:rPr>
        <w:t>vadības sistēmai</w:t>
      </w:r>
      <w:r>
        <w:rPr>
          <w:rFonts w:ascii="Times New Roman" w:hAnsi="Times New Roman"/>
        </w:rPr>
        <w:t>.</w:t>
      </w:r>
    </w:p>
    <w:p w:rsidR="00F36F7E" w:rsidRDefault="00F36F7E" w:rsidP="00F36F7E">
      <w:pPr>
        <w:pStyle w:val="NoSpacing"/>
        <w:jc w:val="both"/>
        <w:rPr>
          <w:rFonts w:ascii="Times New Roman" w:hAnsi="Times New Roman"/>
        </w:rPr>
      </w:pPr>
      <w:r>
        <w:rPr>
          <w:rFonts w:ascii="Times New Roman" w:hAnsi="Times New Roman"/>
        </w:rPr>
        <w:t xml:space="preserve">Lai kvalificētos </w:t>
      </w:r>
      <w:r w:rsidRPr="000A6132">
        <w:rPr>
          <w:rFonts w:ascii="Times New Roman" w:hAnsi="Times New Roman"/>
          <w:b/>
        </w:rPr>
        <w:t>K</w:t>
      </w:r>
      <w:r>
        <w:rPr>
          <w:rFonts w:ascii="Times New Roman" w:hAnsi="Times New Roman"/>
          <w:b/>
        </w:rPr>
        <w:t>2</w:t>
      </w:r>
      <w:r>
        <w:rPr>
          <w:rFonts w:ascii="Times New Roman" w:hAnsi="Times New Roman"/>
        </w:rPr>
        <w:t xml:space="preserve"> kritērija vērtēšanai un pierādītu atbilstību, Pretendents iesniedz </w:t>
      </w:r>
      <w:r w:rsidRPr="00E92C4B">
        <w:rPr>
          <w:rFonts w:ascii="Times New Roman" w:hAnsi="Times New Roman"/>
        </w:rPr>
        <w:t>ISO 14001 vai ekvivalenta standart</w:t>
      </w:r>
      <w:r>
        <w:rPr>
          <w:rFonts w:ascii="Times New Roman" w:hAnsi="Times New Roman"/>
        </w:rPr>
        <w:t>a spēkā esoša sertifikāta kopiju</w:t>
      </w:r>
      <w:r w:rsidRPr="00E92C4B">
        <w:rPr>
          <w:rFonts w:ascii="Times New Roman" w:hAnsi="Times New Roman"/>
        </w:rPr>
        <w:t xml:space="preserve">, ja vides vadības sistēma ir sertificēta, vai </w:t>
      </w:r>
      <w:r w:rsidRPr="00E92C4B">
        <w:rPr>
          <w:rFonts w:ascii="Times New Roman" w:hAnsi="Times New Roman"/>
        </w:rPr>
        <w:lastRenderedPageBreak/>
        <w:t>uzņēmumā ieviestās un būvdarbu izpildē pielietotās vides vadības sistēmas nodrošināšanas procesa</w:t>
      </w:r>
      <w:r>
        <w:rPr>
          <w:rFonts w:ascii="Times New Roman" w:hAnsi="Times New Roman"/>
        </w:rPr>
        <w:t xml:space="preserve"> aprakstu.</w:t>
      </w:r>
    </w:p>
    <w:p w:rsidR="00F36F7E" w:rsidRDefault="00F36F7E" w:rsidP="00F36F7E">
      <w:pPr>
        <w:pStyle w:val="NoSpacing"/>
        <w:jc w:val="both"/>
        <w:rPr>
          <w:rFonts w:ascii="Times New Roman" w:hAnsi="Times New Roman"/>
        </w:rPr>
      </w:pPr>
    </w:p>
    <w:p w:rsidR="00F36F7E" w:rsidRDefault="00F36F7E" w:rsidP="00F36F7E">
      <w:pPr>
        <w:pStyle w:val="NoSpacing"/>
        <w:jc w:val="both"/>
        <w:rPr>
          <w:rFonts w:ascii="Times New Roman" w:hAnsi="Times New Roman"/>
        </w:rPr>
      </w:pPr>
      <w:r w:rsidRPr="00CF011A">
        <w:rPr>
          <w:rFonts w:ascii="Times New Roman" w:hAnsi="Times New Roman"/>
        </w:rPr>
        <w:t>Punkti tiek piešķirti atbilstoši šādai vērtēšanas metodoloģijai: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221"/>
      </w:tblGrid>
      <w:tr w:rsidR="00F36F7E" w:rsidRPr="00274A23" w:rsidTr="00910864">
        <w:tc>
          <w:tcPr>
            <w:tcW w:w="574" w:type="pct"/>
            <w:shd w:val="clear" w:color="auto" w:fill="auto"/>
          </w:tcPr>
          <w:p w:rsidR="00F36F7E" w:rsidRPr="00274A23" w:rsidRDefault="00F36F7E" w:rsidP="00910864">
            <w:pPr>
              <w:widowControl w:val="0"/>
              <w:jc w:val="center"/>
              <w:rPr>
                <w:b/>
                <w:sz w:val="22"/>
                <w:lang w:eastAsia="lv-LV"/>
              </w:rPr>
            </w:pPr>
            <w:r w:rsidRPr="00274A23">
              <w:rPr>
                <w:b/>
                <w:sz w:val="22"/>
                <w:lang w:eastAsia="lv-LV"/>
              </w:rPr>
              <w:t>Punkti</w:t>
            </w:r>
          </w:p>
        </w:tc>
        <w:tc>
          <w:tcPr>
            <w:tcW w:w="4426" w:type="pct"/>
            <w:shd w:val="clear" w:color="auto" w:fill="auto"/>
          </w:tcPr>
          <w:p w:rsidR="00F36F7E" w:rsidRPr="00274A23" w:rsidRDefault="00F36F7E" w:rsidP="00910864">
            <w:pPr>
              <w:widowControl w:val="0"/>
              <w:jc w:val="center"/>
              <w:rPr>
                <w:b/>
                <w:sz w:val="22"/>
                <w:lang w:eastAsia="lv-LV"/>
              </w:rPr>
            </w:pPr>
            <w:r w:rsidRPr="00274A23">
              <w:rPr>
                <w:b/>
                <w:sz w:val="22"/>
                <w:lang w:eastAsia="lv-LV"/>
              </w:rPr>
              <w:t>Novērtējums</w:t>
            </w:r>
          </w:p>
        </w:tc>
      </w:tr>
      <w:tr w:rsidR="00F36F7E" w:rsidRPr="00274A23" w:rsidTr="00910864">
        <w:trPr>
          <w:trHeight w:val="339"/>
        </w:trPr>
        <w:tc>
          <w:tcPr>
            <w:tcW w:w="574" w:type="pct"/>
            <w:shd w:val="clear" w:color="auto" w:fill="auto"/>
            <w:vAlign w:val="center"/>
          </w:tcPr>
          <w:p w:rsidR="00F36F7E" w:rsidRPr="00274A23" w:rsidRDefault="00F36F7E" w:rsidP="00910864">
            <w:pPr>
              <w:widowControl w:val="0"/>
              <w:spacing w:before="120" w:after="120"/>
              <w:jc w:val="center"/>
              <w:rPr>
                <w:sz w:val="22"/>
                <w:lang w:eastAsia="lv-LV"/>
              </w:rPr>
            </w:pPr>
            <w:r w:rsidRPr="00274A23">
              <w:rPr>
                <w:sz w:val="22"/>
                <w:lang w:eastAsia="lv-LV"/>
              </w:rPr>
              <w:t>10</w:t>
            </w:r>
          </w:p>
        </w:tc>
        <w:tc>
          <w:tcPr>
            <w:tcW w:w="4426" w:type="pct"/>
            <w:shd w:val="clear" w:color="auto" w:fill="auto"/>
          </w:tcPr>
          <w:p w:rsidR="00F36F7E" w:rsidRPr="00325ADF" w:rsidRDefault="00F36F7E" w:rsidP="00910864">
            <w:pPr>
              <w:widowControl w:val="0"/>
              <w:spacing w:before="120" w:after="120"/>
              <w:jc w:val="both"/>
              <w:rPr>
                <w:sz w:val="22"/>
                <w:szCs w:val="22"/>
                <w:lang w:eastAsia="lv-LV"/>
              </w:rPr>
            </w:pPr>
            <w:r w:rsidRPr="00325ADF">
              <w:rPr>
                <w:sz w:val="22"/>
                <w:szCs w:val="22"/>
                <w:lang w:eastAsia="lv-LV"/>
              </w:rPr>
              <w:t xml:space="preserve">ISO 14001 vai ekvivalenta standarta spēkā esoša sertifikāta kopija, ja vides vadības sistēma ir sertificēta, vai </w:t>
            </w:r>
            <w:r>
              <w:rPr>
                <w:sz w:val="22"/>
                <w:szCs w:val="22"/>
                <w:lang w:eastAsia="lv-LV"/>
              </w:rPr>
              <w:t xml:space="preserve">uzņēmumā ieviestās un </w:t>
            </w:r>
            <w:r w:rsidRPr="00325ADF">
              <w:rPr>
                <w:sz w:val="22"/>
                <w:szCs w:val="22"/>
                <w:lang w:eastAsia="lv-LV"/>
              </w:rPr>
              <w:t>būvdarbu izpildē pielietotā</w:t>
            </w:r>
            <w:r>
              <w:rPr>
                <w:sz w:val="22"/>
                <w:szCs w:val="22"/>
                <w:lang w:eastAsia="lv-LV"/>
              </w:rPr>
              <w:t>s</w:t>
            </w:r>
            <w:r w:rsidRPr="00325ADF">
              <w:rPr>
                <w:sz w:val="22"/>
                <w:szCs w:val="22"/>
                <w:lang w:eastAsia="lv-LV"/>
              </w:rPr>
              <w:t xml:space="preserve"> vides vadības sistēmas nodrošināšanas procesa apraksts</w:t>
            </w:r>
            <w:r>
              <w:rPr>
                <w:sz w:val="22"/>
                <w:szCs w:val="22"/>
                <w:lang w:eastAsia="lv-LV"/>
              </w:rPr>
              <w:t xml:space="preserve"> sniedz pārliecību par vides vadības sistēmas darbību uzņēmumā</w:t>
            </w:r>
          </w:p>
        </w:tc>
      </w:tr>
      <w:tr w:rsidR="00F36F7E" w:rsidRPr="00274A23" w:rsidTr="00910864">
        <w:trPr>
          <w:trHeight w:val="338"/>
        </w:trPr>
        <w:tc>
          <w:tcPr>
            <w:tcW w:w="574" w:type="pct"/>
            <w:shd w:val="clear" w:color="auto" w:fill="auto"/>
            <w:vAlign w:val="center"/>
          </w:tcPr>
          <w:p w:rsidR="00F36F7E" w:rsidRPr="00274A23" w:rsidRDefault="00F36F7E" w:rsidP="00910864">
            <w:pPr>
              <w:widowControl w:val="0"/>
              <w:spacing w:before="120" w:after="120"/>
              <w:jc w:val="center"/>
              <w:rPr>
                <w:sz w:val="22"/>
                <w:lang w:eastAsia="lv-LV"/>
              </w:rPr>
            </w:pPr>
            <w:r>
              <w:rPr>
                <w:sz w:val="22"/>
                <w:lang w:eastAsia="lv-LV"/>
              </w:rPr>
              <w:t>0</w:t>
            </w:r>
          </w:p>
        </w:tc>
        <w:tc>
          <w:tcPr>
            <w:tcW w:w="4426" w:type="pct"/>
            <w:shd w:val="clear" w:color="auto" w:fill="auto"/>
          </w:tcPr>
          <w:p w:rsidR="00F36F7E" w:rsidRPr="00790AC4" w:rsidRDefault="00F36F7E" w:rsidP="00910864">
            <w:pPr>
              <w:widowControl w:val="0"/>
              <w:spacing w:before="120" w:after="120"/>
              <w:jc w:val="both"/>
              <w:rPr>
                <w:sz w:val="22"/>
                <w:szCs w:val="22"/>
                <w:lang w:eastAsia="lv-LV"/>
              </w:rPr>
            </w:pPr>
            <w:r>
              <w:rPr>
                <w:sz w:val="22"/>
                <w:szCs w:val="22"/>
                <w:lang w:eastAsia="lv-LV"/>
              </w:rPr>
              <w:t xml:space="preserve">Pretendents nav iesniedzis 1.2. apakšpunktā norādītos dokumentus vai iesniegtais apraksts neapliecina, ka </w:t>
            </w:r>
            <w:r w:rsidRPr="00790AC4">
              <w:rPr>
                <w:sz w:val="22"/>
                <w:szCs w:val="22"/>
                <w:lang w:eastAsia="lv-LV"/>
              </w:rPr>
              <w:t xml:space="preserve">uzņēmumā </w:t>
            </w:r>
            <w:r>
              <w:rPr>
                <w:sz w:val="22"/>
                <w:szCs w:val="22"/>
                <w:lang w:eastAsia="lv-LV"/>
              </w:rPr>
              <w:t xml:space="preserve">ir </w:t>
            </w:r>
            <w:r w:rsidRPr="00790AC4">
              <w:rPr>
                <w:sz w:val="22"/>
                <w:szCs w:val="22"/>
                <w:lang w:eastAsia="lv-LV"/>
              </w:rPr>
              <w:t>ieviesta un tiek uzturēta vides vadības sistēma</w:t>
            </w:r>
            <w:r>
              <w:rPr>
                <w:sz w:val="22"/>
                <w:szCs w:val="22"/>
                <w:lang w:eastAsia="lv-LV"/>
              </w:rPr>
              <w:t xml:space="preserve"> atbilstoši </w:t>
            </w:r>
            <w:r w:rsidRPr="00325ADF">
              <w:rPr>
                <w:sz w:val="22"/>
                <w:szCs w:val="22"/>
                <w:lang w:eastAsia="lv-LV"/>
              </w:rPr>
              <w:t>ISO 14001 vai ekvivalenta</w:t>
            </w:r>
            <w:r>
              <w:rPr>
                <w:sz w:val="22"/>
                <w:szCs w:val="22"/>
                <w:lang w:eastAsia="lv-LV"/>
              </w:rPr>
              <w:t>m</w:t>
            </w:r>
            <w:r w:rsidRPr="00325ADF">
              <w:rPr>
                <w:sz w:val="22"/>
                <w:szCs w:val="22"/>
                <w:lang w:eastAsia="lv-LV"/>
              </w:rPr>
              <w:t xml:space="preserve"> standarta</w:t>
            </w:r>
            <w:r>
              <w:rPr>
                <w:sz w:val="22"/>
                <w:szCs w:val="22"/>
                <w:lang w:eastAsia="lv-LV"/>
              </w:rPr>
              <w:t xml:space="preserve">m, </w:t>
            </w:r>
            <w:proofErr w:type="gramStart"/>
            <w:r w:rsidRPr="005E6432">
              <w:rPr>
                <w:sz w:val="22"/>
                <w:szCs w:val="22"/>
                <w:lang w:eastAsia="lv-LV"/>
              </w:rPr>
              <w:t>t.i.</w:t>
            </w:r>
            <w:proofErr w:type="gramEnd"/>
            <w:r w:rsidRPr="005E6432">
              <w:rPr>
                <w:sz w:val="22"/>
                <w:szCs w:val="22"/>
                <w:lang w:eastAsia="lv-LV"/>
              </w:rPr>
              <w:t xml:space="preserve"> nesatur informāciju par izstrādātu savu vides politiku ar skaidri definētiem mērķiem, rīcības programmu ar noteiktu vadības struktūru un pienākumiem</w:t>
            </w:r>
          </w:p>
        </w:tc>
      </w:tr>
    </w:tbl>
    <w:p w:rsidR="00F36F7E" w:rsidRPr="00021796" w:rsidRDefault="00F36F7E" w:rsidP="00F36F7E">
      <w:pPr>
        <w:pStyle w:val="NoSpacing"/>
        <w:jc w:val="both"/>
        <w:rPr>
          <w:rFonts w:ascii="Times New Roman" w:hAnsi="Times New Roman"/>
        </w:rPr>
      </w:pPr>
    </w:p>
    <w:p w:rsidR="00F36F7E" w:rsidRDefault="00F36F7E" w:rsidP="00F36F7E">
      <w:pPr>
        <w:pStyle w:val="NoSpacing"/>
        <w:rPr>
          <w:rFonts w:ascii="Times New Roman" w:hAnsi="Times New Roman"/>
        </w:rPr>
      </w:pPr>
      <w:r w:rsidRPr="001F7890">
        <w:rPr>
          <w:rFonts w:ascii="Times New Roman" w:hAnsi="Times New Roman"/>
        </w:rPr>
        <w:t xml:space="preserve">Maksimāli pēc šī vērtēšanas kritērija var tikt piešķirti </w:t>
      </w:r>
      <w:r>
        <w:rPr>
          <w:rFonts w:ascii="Times New Roman" w:hAnsi="Times New Roman"/>
          <w:b/>
          <w:bCs/>
        </w:rPr>
        <w:t>10</w:t>
      </w:r>
      <w:r w:rsidRPr="001F7890">
        <w:rPr>
          <w:rFonts w:ascii="Times New Roman" w:hAnsi="Times New Roman"/>
          <w:b/>
          <w:bCs/>
        </w:rPr>
        <w:t xml:space="preserve"> </w:t>
      </w:r>
      <w:r w:rsidRPr="001F7890">
        <w:rPr>
          <w:rFonts w:ascii="Times New Roman" w:hAnsi="Times New Roman"/>
        </w:rPr>
        <w:t>punkti</w:t>
      </w:r>
      <w:r>
        <w:rPr>
          <w:rFonts w:ascii="Times New Roman" w:hAnsi="Times New Roman"/>
        </w:rPr>
        <w:t>.</w:t>
      </w:r>
    </w:p>
    <w:p w:rsidR="00F36F7E" w:rsidRDefault="00F36F7E" w:rsidP="00F36F7E">
      <w:pPr>
        <w:overflowPunct w:val="0"/>
        <w:autoSpaceDE w:val="0"/>
        <w:autoSpaceDN w:val="0"/>
        <w:jc w:val="both"/>
        <w:textAlignment w:val="baseline"/>
        <w:rPr>
          <w:sz w:val="22"/>
          <w:szCs w:val="22"/>
        </w:rPr>
      </w:pPr>
    </w:p>
    <w:p w:rsidR="00F36F7E" w:rsidRPr="000A6132" w:rsidRDefault="00F36F7E" w:rsidP="00F36F7E">
      <w:pPr>
        <w:pStyle w:val="NoSpacing"/>
        <w:numPr>
          <w:ilvl w:val="1"/>
          <w:numId w:val="2"/>
        </w:numPr>
        <w:tabs>
          <w:tab w:val="clear" w:pos="360"/>
          <w:tab w:val="num" w:pos="0"/>
        </w:tabs>
        <w:ind w:left="0" w:firstLine="0"/>
        <w:jc w:val="both"/>
        <w:rPr>
          <w:rFonts w:ascii="Times New Roman" w:hAnsi="Times New Roman"/>
        </w:rPr>
      </w:pPr>
      <w:r w:rsidRPr="00CF011A">
        <w:rPr>
          <w:rFonts w:ascii="Times New Roman" w:hAnsi="Times New Roman"/>
          <w:b/>
        </w:rPr>
        <w:t>K</w:t>
      </w:r>
      <w:r>
        <w:rPr>
          <w:rFonts w:ascii="Times New Roman" w:hAnsi="Times New Roman"/>
          <w:b/>
        </w:rPr>
        <w:t>3</w:t>
      </w:r>
      <w:r w:rsidRPr="00CF011A">
        <w:rPr>
          <w:rFonts w:ascii="Times New Roman" w:hAnsi="Times New Roman"/>
        </w:rPr>
        <w:t xml:space="preserve"> - Vērtēšanas kritērijs: </w:t>
      </w:r>
      <w:r w:rsidRPr="00B3708C">
        <w:rPr>
          <w:rFonts w:ascii="Times New Roman" w:hAnsi="Times New Roman"/>
          <w:b/>
          <w:u w:val="single"/>
        </w:rPr>
        <w:t>Atbildīgā personāla pieredze specifiskā jomā</w:t>
      </w:r>
      <w:r w:rsidRPr="002A5CED">
        <w:rPr>
          <w:rFonts w:ascii="Times New Roman" w:hAnsi="Times New Roman"/>
          <w:u w:val="single"/>
        </w:rPr>
        <w:t>.</w:t>
      </w:r>
      <w:r w:rsidRPr="00CF011A">
        <w:rPr>
          <w:rFonts w:ascii="Times New Roman" w:hAnsi="Times New Roman"/>
        </w:rPr>
        <w:t xml:space="preserve"> Vērtēšanā tik</w:t>
      </w:r>
      <w:r>
        <w:rPr>
          <w:rFonts w:ascii="Times New Roman" w:hAnsi="Times New Roman"/>
        </w:rPr>
        <w:t>s</w:t>
      </w:r>
      <w:r w:rsidRPr="00CF011A">
        <w:rPr>
          <w:rFonts w:ascii="Times New Roman" w:hAnsi="Times New Roman"/>
        </w:rPr>
        <w:t xml:space="preserve"> izmantot</w:t>
      </w:r>
      <w:r>
        <w:rPr>
          <w:rFonts w:ascii="Times New Roman" w:hAnsi="Times New Roman"/>
        </w:rPr>
        <w:t>i pretendentu iesniegtie dokumenti, kas pierāda, ka Pretendenta piedāvātajam elektromontāžas darbu vadītājam, kas atbilst nolikuma 3.3.2.1. punktā noteiktajām prasībām, iepriekšējo 3 (trīs) gadu laikā (</w:t>
      </w:r>
      <w:r w:rsidRPr="008F37EE">
        <w:rPr>
          <w:rFonts w:ascii="Times New Roman" w:hAnsi="Times New Roman"/>
          <w:lang w:eastAsia="x-none"/>
        </w:rPr>
        <w:t xml:space="preserve">2015., 2016., 2017. un </w:t>
      </w:r>
      <w:proofErr w:type="gramStart"/>
      <w:r w:rsidRPr="008F37EE">
        <w:rPr>
          <w:rFonts w:ascii="Times New Roman" w:hAnsi="Times New Roman"/>
          <w:lang w:eastAsia="x-none"/>
        </w:rPr>
        <w:t>2018.gadā</w:t>
      </w:r>
      <w:proofErr w:type="gramEnd"/>
      <w:r w:rsidRPr="008F37EE">
        <w:rPr>
          <w:rFonts w:ascii="Times New Roman" w:hAnsi="Times New Roman"/>
          <w:lang w:eastAsia="x-none"/>
        </w:rPr>
        <w:t xml:space="preserve"> līdz piedāvājumu iesniegšanas dienai</w:t>
      </w:r>
      <w:r>
        <w:rPr>
          <w:rFonts w:ascii="Times New Roman" w:hAnsi="Times New Roman"/>
        </w:rPr>
        <w:t xml:space="preserve">) ir pieredze kā atbildīgajam darbu vadītājam </w:t>
      </w:r>
      <w:r w:rsidRPr="008868B7">
        <w:rPr>
          <w:rFonts w:ascii="Times New Roman" w:hAnsi="Times New Roman"/>
        </w:rPr>
        <w:t xml:space="preserve">elektroietaišu </w:t>
      </w:r>
      <w:r>
        <w:rPr>
          <w:rFonts w:ascii="Times New Roman" w:hAnsi="Times New Roman"/>
        </w:rPr>
        <w:t>ārējo ko</w:t>
      </w:r>
      <w:r w:rsidRPr="008868B7">
        <w:rPr>
          <w:rFonts w:ascii="Times New Roman" w:hAnsi="Times New Roman"/>
        </w:rPr>
        <w:t xml:space="preserve">munikāciju </w:t>
      </w:r>
      <w:r>
        <w:rPr>
          <w:rFonts w:ascii="Times New Roman" w:hAnsi="Times New Roman"/>
        </w:rPr>
        <w:t xml:space="preserve">(ielu apgaismojuma tīkli) uzturēšanas (t.i. ekspluatācijas darbi – apkalpošanas, apkopes, remontdarbi) darbu vadīšanā, kur katras izpildītās līguma daļas vērtība bijusi ne mazāka par 40 000,00 EUR bez PVN un </w:t>
      </w:r>
      <w:r w:rsidRPr="00504E57">
        <w:rPr>
          <w:rFonts w:ascii="Times New Roman" w:hAnsi="Times New Roman"/>
          <w:color w:val="000000"/>
          <w:lang w:eastAsia="lv-LV" w:bidi="lv-LV"/>
        </w:rPr>
        <w:t>līgum</w:t>
      </w:r>
      <w:r>
        <w:rPr>
          <w:rFonts w:ascii="Times New Roman" w:hAnsi="Times New Roman"/>
          <w:color w:val="000000"/>
          <w:lang w:eastAsia="lv-LV" w:bidi="lv-LV"/>
        </w:rPr>
        <w:t xml:space="preserve">a </w:t>
      </w:r>
      <w:r w:rsidRPr="00504E57">
        <w:rPr>
          <w:rFonts w:ascii="Times New Roman" w:hAnsi="Times New Roman"/>
          <w:color w:val="000000"/>
          <w:lang w:eastAsia="lv-LV" w:bidi="lv-LV"/>
        </w:rPr>
        <w:t xml:space="preserve">termiņš nav īsāks par </w:t>
      </w:r>
      <w:r w:rsidRPr="00504E57">
        <w:rPr>
          <w:rStyle w:val="2115pt"/>
          <w:rFonts w:eastAsia="Calibri"/>
        </w:rPr>
        <w:t>12</w:t>
      </w:r>
      <w:r w:rsidRPr="00504E57">
        <w:rPr>
          <w:rFonts w:ascii="Times New Roman" w:hAnsi="Times New Roman"/>
          <w:color w:val="000000"/>
          <w:lang w:eastAsia="lv-LV" w:bidi="lv-LV"/>
        </w:rPr>
        <w:t xml:space="preserve"> mēnešiem</w:t>
      </w:r>
      <w:r>
        <w:rPr>
          <w:rFonts w:ascii="Times New Roman" w:hAnsi="Times New Roman"/>
          <w:color w:val="000000"/>
          <w:lang w:eastAsia="lv-LV" w:bidi="lv-LV"/>
        </w:rPr>
        <w:t xml:space="preserve"> (par derīgu tiks uzskatīta arī pieredze, kas gūta uzturēšanas līgumos, kuru izpildes termiņš vēl nav beidzies).</w:t>
      </w:r>
    </w:p>
    <w:p w:rsidR="00F36F7E" w:rsidRDefault="00F36F7E" w:rsidP="00F36F7E">
      <w:pPr>
        <w:pStyle w:val="NoSpacing"/>
        <w:jc w:val="both"/>
        <w:rPr>
          <w:rFonts w:ascii="Times New Roman" w:hAnsi="Times New Roman"/>
        </w:rPr>
      </w:pPr>
      <w:r>
        <w:rPr>
          <w:rFonts w:ascii="Times New Roman" w:hAnsi="Times New Roman"/>
        </w:rPr>
        <w:t xml:space="preserve">Lai kvalificētos </w:t>
      </w:r>
      <w:r w:rsidRPr="000A6132">
        <w:rPr>
          <w:rFonts w:ascii="Times New Roman" w:hAnsi="Times New Roman"/>
          <w:b/>
        </w:rPr>
        <w:t>K3</w:t>
      </w:r>
      <w:r>
        <w:rPr>
          <w:rFonts w:ascii="Times New Roman" w:hAnsi="Times New Roman"/>
        </w:rPr>
        <w:t xml:space="preserve"> kritērija vērtēšanai un pierādītu atbilstību, Pretendents iesniedz atbildīgā elektromontāžas darbu vadītāja pieredzes aprakstu, norādot katra līguma ietvaros veiktos darbus, darbinieka lomu līguma izpildē, līguma darbības periodu, noslēgtā līguma summu, līgumdarbu pasūtītāju un</w:t>
      </w:r>
      <w:proofErr w:type="gramStart"/>
      <w:r>
        <w:rPr>
          <w:rFonts w:ascii="Times New Roman" w:hAnsi="Times New Roman"/>
        </w:rPr>
        <w:t xml:space="preserve"> pievienojot dokumentus</w:t>
      </w:r>
      <w:proofErr w:type="gramEnd"/>
      <w:r>
        <w:rPr>
          <w:rFonts w:ascii="Times New Roman" w:hAnsi="Times New Roman"/>
        </w:rPr>
        <w:t>, kas apliecina atbildīgā darbu vadītāja atbilstību 1.3. apakšpunktā noteiktajai prasībai (piemēram, pasūtītāja atsauksmi, atbildīgā darbu vadītāja saistību rakstu, darba rīkojumu).</w:t>
      </w:r>
    </w:p>
    <w:p w:rsidR="00F36F7E" w:rsidRDefault="00F36F7E" w:rsidP="00F36F7E">
      <w:pPr>
        <w:pStyle w:val="NoSpacing"/>
        <w:jc w:val="both"/>
        <w:rPr>
          <w:rFonts w:ascii="Times New Roman" w:hAnsi="Times New Roman"/>
        </w:rPr>
      </w:pPr>
    </w:p>
    <w:p w:rsidR="00F36F7E" w:rsidRDefault="00F36F7E" w:rsidP="00F36F7E">
      <w:pPr>
        <w:pStyle w:val="NoSpacing"/>
        <w:jc w:val="both"/>
        <w:rPr>
          <w:rFonts w:ascii="Times New Roman" w:hAnsi="Times New Roman"/>
        </w:rPr>
      </w:pPr>
      <w:r w:rsidRPr="00CF011A">
        <w:rPr>
          <w:rFonts w:ascii="Times New Roman" w:hAnsi="Times New Roman"/>
        </w:rPr>
        <w:t>Punkti tiek piešķirti atbilstoši šādai vērtēšanas metodoloģijai: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221"/>
      </w:tblGrid>
      <w:tr w:rsidR="00F36F7E" w:rsidRPr="00274A23" w:rsidTr="00910864">
        <w:tc>
          <w:tcPr>
            <w:tcW w:w="574" w:type="pct"/>
            <w:shd w:val="clear" w:color="auto" w:fill="auto"/>
          </w:tcPr>
          <w:p w:rsidR="00F36F7E" w:rsidRPr="00274A23" w:rsidRDefault="00F36F7E" w:rsidP="00910864">
            <w:pPr>
              <w:widowControl w:val="0"/>
              <w:jc w:val="center"/>
              <w:rPr>
                <w:b/>
                <w:sz w:val="22"/>
                <w:lang w:eastAsia="lv-LV"/>
              </w:rPr>
            </w:pPr>
            <w:r w:rsidRPr="00274A23">
              <w:rPr>
                <w:b/>
                <w:sz w:val="22"/>
                <w:lang w:eastAsia="lv-LV"/>
              </w:rPr>
              <w:t>Punkti</w:t>
            </w:r>
          </w:p>
        </w:tc>
        <w:tc>
          <w:tcPr>
            <w:tcW w:w="4426" w:type="pct"/>
            <w:shd w:val="clear" w:color="auto" w:fill="auto"/>
          </w:tcPr>
          <w:p w:rsidR="00F36F7E" w:rsidRPr="00274A23" w:rsidRDefault="00F36F7E" w:rsidP="00910864">
            <w:pPr>
              <w:widowControl w:val="0"/>
              <w:jc w:val="center"/>
              <w:rPr>
                <w:b/>
                <w:sz w:val="22"/>
                <w:lang w:eastAsia="lv-LV"/>
              </w:rPr>
            </w:pPr>
            <w:r w:rsidRPr="00274A23">
              <w:rPr>
                <w:b/>
                <w:sz w:val="22"/>
                <w:lang w:eastAsia="lv-LV"/>
              </w:rPr>
              <w:t>Novērtējums</w:t>
            </w:r>
          </w:p>
        </w:tc>
      </w:tr>
      <w:tr w:rsidR="00F36F7E" w:rsidRPr="00274A23" w:rsidTr="00910864">
        <w:trPr>
          <w:trHeight w:val="339"/>
        </w:trPr>
        <w:tc>
          <w:tcPr>
            <w:tcW w:w="574" w:type="pct"/>
            <w:shd w:val="clear" w:color="auto" w:fill="auto"/>
            <w:vAlign w:val="center"/>
          </w:tcPr>
          <w:p w:rsidR="00F36F7E" w:rsidRPr="00274A23" w:rsidRDefault="00F36F7E" w:rsidP="00910864">
            <w:pPr>
              <w:widowControl w:val="0"/>
              <w:spacing w:before="120" w:after="120"/>
              <w:jc w:val="center"/>
              <w:rPr>
                <w:sz w:val="22"/>
                <w:lang w:eastAsia="lv-LV"/>
              </w:rPr>
            </w:pPr>
            <w:r w:rsidRPr="00274A23">
              <w:rPr>
                <w:sz w:val="22"/>
                <w:lang w:eastAsia="lv-LV"/>
              </w:rPr>
              <w:t>10</w:t>
            </w:r>
          </w:p>
        </w:tc>
        <w:tc>
          <w:tcPr>
            <w:tcW w:w="4426" w:type="pct"/>
            <w:shd w:val="clear" w:color="auto" w:fill="auto"/>
          </w:tcPr>
          <w:p w:rsidR="00F36F7E" w:rsidRPr="00325ADF" w:rsidRDefault="00F36F7E" w:rsidP="00910864">
            <w:pPr>
              <w:widowControl w:val="0"/>
              <w:spacing w:before="120" w:after="120"/>
              <w:jc w:val="both"/>
              <w:rPr>
                <w:sz w:val="22"/>
                <w:szCs w:val="22"/>
                <w:lang w:eastAsia="lv-LV"/>
              </w:rPr>
            </w:pPr>
            <w:r>
              <w:rPr>
                <w:sz w:val="22"/>
                <w:szCs w:val="22"/>
                <w:lang w:eastAsia="lv-LV"/>
              </w:rPr>
              <w:t>Atbildīgajam darbu vadītājam ir 1.3. apakšpunktā noteiktajām prasībām atbilstoša pieredze vismaz 1 (vienā) līgumā</w:t>
            </w:r>
          </w:p>
        </w:tc>
      </w:tr>
      <w:tr w:rsidR="00F36F7E" w:rsidRPr="00274A23" w:rsidTr="00910864">
        <w:trPr>
          <w:trHeight w:val="338"/>
        </w:trPr>
        <w:tc>
          <w:tcPr>
            <w:tcW w:w="574" w:type="pct"/>
            <w:shd w:val="clear" w:color="auto" w:fill="auto"/>
            <w:vAlign w:val="center"/>
          </w:tcPr>
          <w:p w:rsidR="00F36F7E" w:rsidRPr="00274A23" w:rsidRDefault="00F36F7E" w:rsidP="00910864">
            <w:pPr>
              <w:widowControl w:val="0"/>
              <w:spacing w:before="120" w:after="120"/>
              <w:jc w:val="center"/>
              <w:rPr>
                <w:sz w:val="22"/>
                <w:lang w:eastAsia="lv-LV"/>
              </w:rPr>
            </w:pPr>
            <w:r>
              <w:rPr>
                <w:sz w:val="22"/>
                <w:lang w:eastAsia="lv-LV"/>
              </w:rPr>
              <w:t>0</w:t>
            </w:r>
          </w:p>
        </w:tc>
        <w:tc>
          <w:tcPr>
            <w:tcW w:w="4426" w:type="pct"/>
            <w:shd w:val="clear" w:color="auto" w:fill="auto"/>
          </w:tcPr>
          <w:p w:rsidR="00F36F7E" w:rsidRPr="00790AC4" w:rsidRDefault="00F36F7E" w:rsidP="00910864">
            <w:pPr>
              <w:widowControl w:val="0"/>
              <w:spacing w:before="120" w:after="120"/>
              <w:jc w:val="both"/>
              <w:rPr>
                <w:sz w:val="22"/>
                <w:szCs w:val="22"/>
                <w:lang w:eastAsia="lv-LV"/>
              </w:rPr>
            </w:pPr>
            <w:r>
              <w:rPr>
                <w:sz w:val="22"/>
                <w:szCs w:val="22"/>
                <w:lang w:eastAsia="lv-LV"/>
              </w:rPr>
              <w:t>Nav iesniegti pieredzes apliecinājumi vai iesniegtie apliecinājumi neatbilst 1.3. apakšpunktā noteiktajai prasībai</w:t>
            </w:r>
          </w:p>
        </w:tc>
      </w:tr>
    </w:tbl>
    <w:p w:rsidR="00F36F7E" w:rsidRPr="00021796" w:rsidRDefault="00F36F7E" w:rsidP="00F36F7E">
      <w:pPr>
        <w:pStyle w:val="NoSpacing"/>
        <w:jc w:val="both"/>
        <w:rPr>
          <w:rFonts w:ascii="Times New Roman" w:hAnsi="Times New Roman"/>
        </w:rPr>
      </w:pPr>
    </w:p>
    <w:p w:rsidR="00F36F7E" w:rsidRDefault="00F36F7E" w:rsidP="00F36F7E">
      <w:pPr>
        <w:pStyle w:val="NoSpacing"/>
        <w:rPr>
          <w:rFonts w:ascii="Times New Roman" w:hAnsi="Times New Roman"/>
        </w:rPr>
      </w:pPr>
      <w:r w:rsidRPr="001F7890">
        <w:rPr>
          <w:rFonts w:ascii="Times New Roman" w:hAnsi="Times New Roman"/>
        </w:rPr>
        <w:t xml:space="preserve">Maksimāli pēc šī vērtēšanas kritērija var tikt piešķirti </w:t>
      </w:r>
      <w:r>
        <w:rPr>
          <w:rFonts w:ascii="Times New Roman" w:hAnsi="Times New Roman"/>
          <w:b/>
          <w:bCs/>
        </w:rPr>
        <w:t>10</w:t>
      </w:r>
      <w:r w:rsidRPr="001F7890">
        <w:rPr>
          <w:rFonts w:ascii="Times New Roman" w:hAnsi="Times New Roman"/>
          <w:b/>
          <w:bCs/>
        </w:rPr>
        <w:t xml:space="preserve"> </w:t>
      </w:r>
      <w:r w:rsidRPr="001F7890">
        <w:rPr>
          <w:rFonts w:ascii="Times New Roman" w:hAnsi="Times New Roman"/>
        </w:rPr>
        <w:t>punkti</w:t>
      </w:r>
      <w:r>
        <w:rPr>
          <w:rFonts w:ascii="Times New Roman" w:hAnsi="Times New Roman"/>
        </w:rPr>
        <w:t>.</w:t>
      </w:r>
    </w:p>
    <w:p w:rsidR="00F36F7E" w:rsidRDefault="00F36F7E" w:rsidP="00F36F7E">
      <w:pPr>
        <w:overflowPunct w:val="0"/>
        <w:autoSpaceDE w:val="0"/>
        <w:autoSpaceDN w:val="0"/>
        <w:jc w:val="both"/>
        <w:textAlignment w:val="baseline"/>
        <w:rPr>
          <w:sz w:val="22"/>
          <w:szCs w:val="22"/>
        </w:rPr>
      </w:pPr>
    </w:p>
    <w:p w:rsidR="00F36F7E" w:rsidRPr="001B3487" w:rsidRDefault="00F36F7E" w:rsidP="00F36F7E">
      <w:pPr>
        <w:pStyle w:val="NoSpacing"/>
        <w:numPr>
          <w:ilvl w:val="1"/>
          <w:numId w:val="2"/>
        </w:numPr>
        <w:tabs>
          <w:tab w:val="clear" w:pos="360"/>
          <w:tab w:val="num" w:pos="0"/>
        </w:tabs>
        <w:ind w:left="0" w:firstLine="0"/>
        <w:jc w:val="both"/>
        <w:rPr>
          <w:rFonts w:ascii="Times New Roman" w:hAnsi="Times New Roman"/>
        </w:rPr>
      </w:pPr>
      <w:r w:rsidRPr="001B3487">
        <w:rPr>
          <w:rFonts w:ascii="Times New Roman" w:hAnsi="Times New Roman"/>
          <w:b/>
        </w:rPr>
        <w:t xml:space="preserve">K4 </w:t>
      </w:r>
      <w:r w:rsidRPr="001B3487">
        <w:rPr>
          <w:rFonts w:ascii="Times New Roman" w:hAnsi="Times New Roman"/>
        </w:rPr>
        <w:t xml:space="preserve">- Vērtēšanas kritērijs: </w:t>
      </w:r>
      <w:r>
        <w:rPr>
          <w:rFonts w:ascii="Times New Roman" w:hAnsi="Times New Roman"/>
          <w:b/>
          <w:u w:val="single"/>
        </w:rPr>
        <w:t xml:space="preserve">Pakalpojuma sniegšanā </w:t>
      </w:r>
      <w:r w:rsidRPr="001B3487">
        <w:rPr>
          <w:rFonts w:ascii="Times New Roman" w:hAnsi="Times New Roman"/>
          <w:b/>
          <w:u w:val="single"/>
        </w:rPr>
        <w:t>izmantotā autotransporta izmešu līmenis.</w:t>
      </w:r>
      <w:r w:rsidRPr="001B3487">
        <w:rPr>
          <w:rFonts w:ascii="Times New Roman" w:hAnsi="Times New Roman"/>
        </w:rPr>
        <w:t xml:space="preserve"> Vērtēšanā tiks izmantota Pretendentu uzrādītā informācija</w:t>
      </w:r>
      <w:r>
        <w:rPr>
          <w:rFonts w:ascii="Times New Roman" w:hAnsi="Times New Roman"/>
        </w:rPr>
        <w:t xml:space="preserve"> par Pretendenta rīcībā esošo tehnisko nodrošinājumu (saskaņā ar 3. pielikumā norādīto formu)</w:t>
      </w:r>
      <w:r w:rsidRPr="001B3487">
        <w:rPr>
          <w:rFonts w:ascii="Times New Roman" w:hAnsi="Times New Roman"/>
        </w:rPr>
        <w:t xml:space="preserve"> un iesniegtie dokumenti, kas apliecina, ka </w:t>
      </w:r>
      <w:r>
        <w:rPr>
          <w:rFonts w:ascii="Times New Roman" w:hAnsi="Times New Roman"/>
        </w:rPr>
        <w:t xml:space="preserve">nolikuma 3.3.4. punktā norādītā </w:t>
      </w:r>
      <w:r w:rsidRPr="001B3487">
        <w:rPr>
          <w:rFonts w:ascii="Times New Roman" w:hAnsi="Times New Roman"/>
        </w:rPr>
        <w:t xml:space="preserve">autotransporta, </w:t>
      </w:r>
      <w:proofErr w:type="gramStart"/>
      <w:r w:rsidRPr="001B3487">
        <w:rPr>
          <w:rFonts w:ascii="Times New Roman" w:hAnsi="Times New Roman"/>
        </w:rPr>
        <w:t>kas ir nepieciešams</w:t>
      </w:r>
      <w:proofErr w:type="gramEnd"/>
      <w:r w:rsidRPr="001B3487">
        <w:rPr>
          <w:rFonts w:ascii="Times New Roman" w:hAnsi="Times New Roman"/>
        </w:rPr>
        <w:t xml:space="preserve"> un tiks izmantots Tehniskajās specifikācijās norādīto darbu izpildei, izmešu līmenis CO</w:t>
      </w:r>
      <w:r w:rsidRPr="0062603A">
        <w:rPr>
          <w:rFonts w:ascii="Times New Roman" w:hAnsi="Times New Roman"/>
          <w:vertAlign w:val="subscript"/>
        </w:rPr>
        <w:t>2</w:t>
      </w:r>
      <w:r w:rsidRPr="001B3487">
        <w:rPr>
          <w:rFonts w:ascii="Times New Roman" w:hAnsi="Times New Roman"/>
        </w:rPr>
        <w:t xml:space="preserve">=0 vai </w:t>
      </w:r>
      <w:proofErr w:type="spellStart"/>
      <w:r w:rsidRPr="001B3487">
        <w:rPr>
          <w:rFonts w:ascii="Times New Roman" w:hAnsi="Times New Roman"/>
        </w:rPr>
        <w:t>transportlīdzekļi</w:t>
      </w:r>
      <w:proofErr w:type="spellEnd"/>
      <w:r w:rsidRPr="001B3487">
        <w:rPr>
          <w:rFonts w:ascii="Times New Roman" w:hAnsi="Times New Roman"/>
        </w:rPr>
        <w:t xml:space="preserve">, ko paredzēts izmantot pakalpojuma sniegšanai, atbilst vismaz EURO 5 (vai V) vai EURO 6 (vai VI) atgāzu emisijas standartiem saskaņā ar Eiropas Parlamenta un Padomes 2007. gada 20. jūnija Regulas (EK) Nr. 715/2007 par tipa apstiprinājumu mehāniskiem </w:t>
      </w:r>
      <w:proofErr w:type="spellStart"/>
      <w:r w:rsidRPr="001B3487">
        <w:rPr>
          <w:rFonts w:ascii="Times New Roman" w:hAnsi="Times New Roman"/>
        </w:rPr>
        <w:t>transportlīdzekļiem</w:t>
      </w:r>
      <w:proofErr w:type="spellEnd"/>
      <w:r w:rsidRPr="001B3487">
        <w:rPr>
          <w:rFonts w:ascii="Times New Roman" w:hAnsi="Times New Roman"/>
        </w:rPr>
        <w:t xml:space="preserve"> attiecībā uz emisijām no vieglajiem pasažieru un komerciālajiem </w:t>
      </w:r>
      <w:proofErr w:type="spellStart"/>
      <w:r w:rsidRPr="001B3487">
        <w:rPr>
          <w:rFonts w:ascii="Times New Roman" w:hAnsi="Times New Roman"/>
        </w:rPr>
        <w:t>transportlīdzekļiem</w:t>
      </w:r>
      <w:proofErr w:type="spellEnd"/>
      <w:r w:rsidRPr="001B3487">
        <w:rPr>
          <w:rFonts w:ascii="Times New Roman" w:hAnsi="Times New Roman"/>
        </w:rPr>
        <w:t xml:space="preserve"> (</w:t>
      </w:r>
      <w:proofErr w:type="spellStart"/>
      <w:r w:rsidRPr="001B3487">
        <w:rPr>
          <w:rFonts w:ascii="Times New Roman" w:hAnsi="Times New Roman"/>
        </w:rPr>
        <w:t>Euro</w:t>
      </w:r>
      <w:proofErr w:type="spellEnd"/>
      <w:r w:rsidRPr="001B3487">
        <w:rPr>
          <w:rFonts w:ascii="Times New Roman" w:hAnsi="Times New Roman"/>
        </w:rPr>
        <w:t xml:space="preserve"> 5 un </w:t>
      </w:r>
      <w:proofErr w:type="spellStart"/>
      <w:r w:rsidRPr="001B3487">
        <w:rPr>
          <w:rFonts w:ascii="Times New Roman" w:hAnsi="Times New Roman"/>
        </w:rPr>
        <w:t>Euro</w:t>
      </w:r>
      <w:proofErr w:type="spellEnd"/>
      <w:r w:rsidRPr="001B3487">
        <w:rPr>
          <w:rFonts w:ascii="Times New Roman" w:hAnsi="Times New Roman"/>
        </w:rPr>
        <w:t xml:space="preserve"> 6) un par </w:t>
      </w:r>
      <w:proofErr w:type="spellStart"/>
      <w:r w:rsidRPr="001B3487">
        <w:rPr>
          <w:rFonts w:ascii="Times New Roman" w:hAnsi="Times New Roman"/>
        </w:rPr>
        <w:t>piekļuvi</w:t>
      </w:r>
      <w:proofErr w:type="spellEnd"/>
      <w:r w:rsidRPr="001B3487">
        <w:rPr>
          <w:rFonts w:ascii="Times New Roman" w:hAnsi="Times New Roman"/>
        </w:rPr>
        <w:t xml:space="preserve"> </w:t>
      </w:r>
      <w:proofErr w:type="spellStart"/>
      <w:r w:rsidRPr="001B3487">
        <w:rPr>
          <w:rFonts w:ascii="Times New Roman" w:hAnsi="Times New Roman"/>
        </w:rPr>
        <w:t>transportlīdzekļa</w:t>
      </w:r>
      <w:proofErr w:type="spellEnd"/>
      <w:r w:rsidRPr="001B3487">
        <w:rPr>
          <w:rFonts w:ascii="Times New Roman" w:hAnsi="Times New Roman"/>
        </w:rPr>
        <w:t xml:space="preserve"> remonta un tehniskās apkopes informācijai I p</w:t>
      </w:r>
      <w:r>
        <w:rPr>
          <w:rFonts w:ascii="Times New Roman" w:hAnsi="Times New Roman"/>
        </w:rPr>
        <w:t>ielikuma 1. tabulā noteiktajām “</w:t>
      </w:r>
      <w:proofErr w:type="spellStart"/>
      <w:r w:rsidRPr="001B3487">
        <w:rPr>
          <w:rFonts w:ascii="Times New Roman" w:hAnsi="Times New Roman"/>
        </w:rPr>
        <w:t>Euro</w:t>
      </w:r>
      <w:proofErr w:type="spellEnd"/>
      <w:r w:rsidRPr="001B3487">
        <w:rPr>
          <w:rFonts w:ascii="Times New Roman" w:hAnsi="Times New Roman"/>
        </w:rPr>
        <w:t xml:space="preserve"> 5” emisijas robežvērtībām vai I p</w:t>
      </w:r>
      <w:r>
        <w:rPr>
          <w:rFonts w:ascii="Times New Roman" w:hAnsi="Times New Roman"/>
        </w:rPr>
        <w:t>ielikuma 2. tabulā noteiktajām “</w:t>
      </w:r>
      <w:proofErr w:type="spellStart"/>
      <w:r w:rsidRPr="001B3487">
        <w:rPr>
          <w:rFonts w:ascii="Times New Roman" w:hAnsi="Times New Roman"/>
        </w:rPr>
        <w:t>Euro</w:t>
      </w:r>
      <w:proofErr w:type="spellEnd"/>
      <w:r w:rsidRPr="001B3487">
        <w:rPr>
          <w:rFonts w:ascii="Times New Roman" w:hAnsi="Times New Roman"/>
        </w:rPr>
        <w:t xml:space="preserve"> 6” emisijas robežvērtībām un </w:t>
      </w:r>
      <w:r w:rsidRPr="001B3487">
        <w:rPr>
          <w:rFonts w:ascii="Times New Roman" w:hAnsi="Times New Roman"/>
        </w:rPr>
        <w:lastRenderedPageBreak/>
        <w:t>Eiropas Parlamenta un Padomes 2009. gada 18. jūnija Regula (EK) Nr. 595/2009 par mehānisko transportlīdzekļu un motoru tipa apstiprinājumu attiecībā uz lielas celtspējas/kravnesības transportlīdzekļu radītām emisijām (</w:t>
      </w:r>
      <w:proofErr w:type="spellStart"/>
      <w:r w:rsidRPr="001B3487">
        <w:rPr>
          <w:rFonts w:ascii="Times New Roman" w:hAnsi="Times New Roman"/>
        </w:rPr>
        <w:t>Euro</w:t>
      </w:r>
      <w:proofErr w:type="spellEnd"/>
      <w:r w:rsidRPr="001B3487">
        <w:rPr>
          <w:rFonts w:ascii="Times New Roman" w:hAnsi="Times New Roman"/>
        </w:rPr>
        <w:t xml:space="preserve"> VI), par piekļuvi transportlīdzekļu remonta un tehniskās apkopes informācijai, </w:t>
      </w:r>
      <w:r>
        <w:rPr>
          <w:rFonts w:ascii="Times New Roman" w:hAnsi="Times New Roman"/>
        </w:rPr>
        <w:t>par grozījumiem Regulā (EK) Nr.</w:t>
      </w:r>
      <w:r w:rsidRPr="001B3487">
        <w:rPr>
          <w:rFonts w:ascii="Times New Roman" w:hAnsi="Times New Roman"/>
        </w:rPr>
        <w:t>715/2007 un Direktīvā 2007/46/EK un par Direktīvu 80/1269/EEK, 2005/55/EK un 2005/78/EK atcelšanu</w:t>
      </w:r>
      <w:r>
        <w:rPr>
          <w:rFonts w:ascii="Times New Roman" w:hAnsi="Times New Roman"/>
        </w:rPr>
        <w:t xml:space="preserve">, I pielikuma tabulā noteiktajām </w:t>
      </w:r>
      <w:r w:rsidRPr="001B3487">
        <w:rPr>
          <w:rFonts w:ascii="Times New Roman" w:hAnsi="Times New Roman"/>
        </w:rPr>
        <w:t>„</w:t>
      </w:r>
      <w:proofErr w:type="spellStart"/>
      <w:r w:rsidRPr="001B3487">
        <w:rPr>
          <w:rFonts w:ascii="Times New Roman" w:hAnsi="Times New Roman"/>
        </w:rPr>
        <w:t>Euro</w:t>
      </w:r>
      <w:proofErr w:type="spellEnd"/>
      <w:r w:rsidRPr="001B3487">
        <w:rPr>
          <w:rFonts w:ascii="Times New Roman" w:hAnsi="Times New Roman"/>
        </w:rPr>
        <w:t xml:space="preserve"> 6” emisijas robežvērtībām vai saskaņā ar Ministru kabineta 2009.</w:t>
      </w:r>
      <w:r>
        <w:rPr>
          <w:rFonts w:ascii="Times New Roman" w:hAnsi="Times New Roman"/>
        </w:rPr>
        <w:t> </w:t>
      </w:r>
      <w:r w:rsidRPr="001B3487">
        <w:rPr>
          <w:rFonts w:ascii="Times New Roman" w:hAnsi="Times New Roman"/>
        </w:rPr>
        <w:t>gada 22.</w:t>
      </w:r>
      <w:r>
        <w:rPr>
          <w:rFonts w:ascii="Times New Roman" w:hAnsi="Times New Roman"/>
        </w:rPr>
        <w:t> decembra noteikumu Nr.1494 “</w:t>
      </w:r>
      <w:r w:rsidRPr="001B3487">
        <w:rPr>
          <w:rFonts w:ascii="Times New Roman" w:hAnsi="Times New Roman"/>
        </w:rPr>
        <w:t xml:space="preserve">Mopēdu, mehānisko </w:t>
      </w:r>
      <w:proofErr w:type="spellStart"/>
      <w:r w:rsidRPr="001B3487">
        <w:rPr>
          <w:rFonts w:ascii="Times New Roman" w:hAnsi="Times New Roman"/>
        </w:rPr>
        <w:t>transportlīdzekļu</w:t>
      </w:r>
      <w:proofErr w:type="spellEnd"/>
      <w:r w:rsidRPr="001B3487">
        <w:rPr>
          <w:rFonts w:ascii="Times New Roman" w:hAnsi="Times New Roman"/>
        </w:rPr>
        <w:t xml:space="preserve">, to piekabju un </w:t>
      </w:r>
      <w:proofErr w:type="spellStart"/>
      <w:r w:rsidRPr="001B3487">
        <w:rPr>
          <w:rFonts w:ascii="Times New Roman" w:hAnsi="Times New Roman"/>
        </w:rPr>
        <w:t>sastāvdaļu</w:t>
      </w:r>
      <w:proofErr w:type="spellEnd"/>
      <w:r w:rsidRPr="001B3487">
        <w:rPr>
          <w:rFonts w:ascii="Times New Roman" w:hAnsi="Times New Roman"/>
        </w:rPr>
        <w:t xml:space="preserve"> atbilstības novērtēšanas noteikumi” 11.pi</w:t>
      </w:r>
      <w:r>
        <w:rPr>
          <w:rFonts w:ascii="Times New Roman" w:hAnsi="Times New Roman"/>
        </w:rPr>
        <w:t>elikuma 41.iedaļā noteiktajām “</w:t>
      </w:r>
      <w:r w:rsidRPr="001B3487">
        <w:rPr>
          <w:rFonts w:ascii="Times New Roman" w:hAnsi="Times New Roman"/>
        </w:rPr>
        <w:t>EURO V</w:t>
      </w:r>
      <w:r>
        <w:rPr>
          <w:rFonts w:ascii="Times New Roman" w:hAnsi="Times New Roman"/>
        </w:rPr>
        <w:t xml:space="preserve">” un 41.a) </w:t>
      </w:r>
      <w:proofErr w:type="spellStart"/>
      <w:r>
        <w:rPr>
          <w:rFonts w:ascii="Times New Roman" w:hAnsi="Times New Roman"/>
        </w:rPr>
        <w:t>iedaļā</w:t>
      </w:r>
      <w:proofErr w:type="spellEnd"/>
      <w:r>
        <w:rPr>
          <w:rFonts w:ascii="Times New Roman" w:hAnsi="Times New Roman"/>
        </w:rPr>
        <w:t xml:space="preserve"> noteiktajām “</w:t>
      </w:r>
      <w:r w:rsidRPr="001B3487">
        <w:rPr>
          <w:rFonts w:ascii="Times New Roman" w:hAnsi="Times New Roman"/>
        </w:rPr>
        <w:t>EURO VI” emisiju robežvērtībām.</w:t>
      </w:r>
    </w:p>
    <w:p w:rsidR="00F36F7E" w:rsidRDefault="00F36F7E" w:rsidP="00F36F7E">
      <w:pPr>
        <w:pStyle w:val="NoSpacing"/>
        <w:jc w:val="both"/>
        <w:rPr>
          <w:rFonts w:ascii="Times New Roman" w:hAnsi="Times New Roman"/>
        </w:rPr>
      </w:pPr>
    </w:p>
    <w:p w:rsidR="00F36F7E" w:rsidRDefault="00F36F7E" w:rsidP="00F36F7E">
      <w:pPr>
        <w:pStyle w:val="NoSpacing"/>
        <w:jc w:val="both"/>
        <w:rPr>
          <w:rFonts w:ascii="Times New Roman" w:hAnsi="Times New Roman"/>
        </w:rPr>
      </w:pPr>
      <w:r w:rsidRPr="00CF011A">
        <w:rPr>
          <w:rFonts w:ascii="Times New Roman" w:hAnsi="Times New Roman"/>
        </w:rPr>
        <w:t>Punkti tiek piešķirti atbilstoši šādai vērtēšanas metodoloģijai: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221"/>
      </w:tblGrid>
      <w:tr w:rsidR="00F36F7E" w:rsidRPr="00274A23" w:rsidTr="00910864">
        <w:tc>
          <w:tcPr>
            <w:tcW w:w="574" w:type="pct"/>
            <w:shd w:val="clear" w:color="auto" w:fill="auto"/>
          </w:tcPr>
          <w:p w:rsidR="00F36F7E" w:rsidRPr="00274A23" w:rsidRDefault="00F36F7E" w:rsidP="00910864">
            <w:pPr>
              <w:widowControl w:val="0"/>
              <w:jc w:val="center"/>
              <w:rPr>
                <w:b/>
                <w:sz w:val="22"/>
                <w:lang w:eastAsia="lv-LV"/>
              </w:rPr>
            </w:pPr>
            <w:r w:rsidRPr="00274A23">
              <w:rPr>
                <w:b/>
                <w:sz w:val="22"/>
                <w:lang w:eastAsia="lv-LV"/>
              </w:rPr>
              <w:t>Punkti</w:t>
            </w:r>
          </w:p>
        </w:tc>
        <w:tc>
          <w:tcPr>
            <w:tcW w:w="4426" w:type="pct"/>
            <w:shd w:val="clear" w:color="auto" w:fill="auto"/>
          </w:tcPr>
          <w:p w:rsidR="00F36F7E" w:rsidRPr="00274A23" w:rsidRDefault="00F36F7E" w:rsidP="00910864">
            <w:pPr>
              <w:widowControl w:val="0"/>
              <w:jc w:val="center"/>
              <w:rPr>
                <w:b/>
                <w:sz w:val="22"/>
                <w:lang w:eastAsia="lv-LV"/>
              </w:rPr>
            </w:pPr>
            <w:r w:rsidRPr="00274A23">
              <w:rPr>
                <w:b/>
                <w:sz w:val="22"/>
                <w:lang w:eastAsia="lv-LV"/>
              </w:rPr>
              <w:t>Novērtējums</w:t>
            </w:r>
          </w:p>
        </w:tc>
      </w:tr>
      <w:tr w:rsidR="00F36F7E" w:rsidRPr="00274A23" w:rsidTr="00910864">
        <w:trPr>
          <w:trHeight w:val="339"/>
        </w:trPr>
        <w:tc>
          <w:tcPr>
            <w:tcW w:w="574" w:type="pct"/>
            <w:shd w:val="clear" w:color="auto" w:fill="auto"/>
            <w:vAlign w:val="center"/>
          </w:tcPr>
          <w:p w:rsidR="00F36F7E" w:rsidRPr="00274A23" w:rsidRDefault="00F36F7E" w:rsidP="00910864">
            <w:pPr>
              <w:widowControl w:val="0"/>
              <w:spacing w:before="120" w:after="120"/>
              <w:jc w:val="center"/>
              <w:rPr>
                <w:sz w:val="22"/>
                <w:lang w:eastAsia="lv-LV"/>
              </w:rPr>
            </w:pPr>
            <w:r w:rsidRPr="00274A23">
              <w:rPr>
                <w:sz w:val="22"/>
                <w:lang w:eastAsia="lv-LV"/>
              </w:rPr>
              <w:t>10</w:t>
            </w:r>
          </w:p>
        </w:tc>
        <w:tc>
          <w:tcPr>
            <w:tcW w:w="4426" w:type="pct"/>
            <w:shd w:val="clear" w:color="auto" w:fill="auto"/>
          </w:tcPr>
          <w:p w:rsidR="00F36F7E" w:rsidRPr="0023591D" w:rsidRDefault="00F36F7E" w:rsidP="00910864">
            <w:pPr>
              <w:widowControl w:val="0"/>
              <w:spacing w:before="120" w:after="120"/>
              <w:jc w:val="both"/>
              <w:rPr>
                <w:sz w:val="22"/>
                <w:szCs w:val="22"/>
                <w:lang w:eastAsia="lv-LV"/>
              </w:rPr>
            </w:pPr>
            <w:r w:rsidRPr="0023591D">
              <w:rPr>
                <w:sz w:val="22"/>
                <w:szCs w:val="22"/>
              </w:rPr>
              <w:t xml:space="preserve">Pretendentam ir īpašumā, tiesiskā valdījumā vai nomā </w:t>
            </w:r>
            <w:r w:rsidRPr="0023591D">
              <w:rPr>
                <w:sz w:val="22"/>
                <w:szCs w:val="22"/>
                <w:lang w:eastAsia="lv-LV"/>
              </w:rPr>
              <w:t>1.4. apakšpunktā noteiktajām prasībām atbilsto</w:t>
            </w:r>
            <w:r>
              <w:rPr>
                <w:sz w:val="22"/>
                <w:szCs w:val="22"/>
                <w:lang w:eastAsia="lv-LV"/>
              </w:rPr>
              <w:t>ši</w:t>
            </w:r>
            <w:r w:rsidRPr="0023591D">
              <w:rPr>
                <w:sz w:val="22"/>
                <w:szCs w:val="22"/>
                <w:lang w:eastAsia="lv-LV"/>
              </w:rPr>
              <w:t xml:space="preserve"> vismaz 2 (div</w:t>
            </w:r>
            <w:r>
              <w:rPr>
                <w:sz w:val="22"/>
                <w:szCs w:val="22"/>
                <w:lang w:eastAsia="lv-LV"/>
              </w:rPr>
              <w:t>i</w:t>
            </w:r>
            <w:r w:rsidRPr="0023591D">
              <w:rPr>
                <w:sz w:val="22"/>
                <w:szCs w:val="22"/>
                <w:lang w:eastAsia="lv-LV"/>
              </w:rPr>
              <w:t>) transport</w:t>
            </w:r>
            <w:r>
              <w:rPr>
                <w:sz w:val="22"/>
                <w:szCs w:val="22"/>
                <w:lang w:eastAsia="lv-LV"/>
              </w:rPr>
              <w:t xml:space="preserve">līdzekļi, kas tiks izmantoti </w:t>
            </w:r>
            <w:r w:rsidRPr="00400B59">
              <w:rPr>
                <w:sz w:val="22"/>
                <w:szCs w:val="22"/>
                <w:lang w:eastAsia="lv-LV"/>
              </w:rPr>
              <w:t>Tehniskajās specifikācijās norādīto darbu izpildei</w:t>
            </w:r>
          </w:p>
        </w:tc>
      </w:tr>
      <w:tr w:rsidR="00F36F7E" w:rsidRPr="00274A23" w:rsidTr="00910864">
        <w:trPr>
          <w:trHeight w:val="339"/>
        </w:trPr>
        <w:tc>
          <w:tcPr>
            <w:tcW w:w="574" w:type="pct"/>
            <w:shd w:val="clear" w:color="auto" w:fill="auto"/>
            <w:vAlign w:val="center"/>
          </w:tcPr>
          <w:p w:rsidR="00F36F7E" w:rsidRPr="00274A23" w:rsidRDefault="00F36F7E" w:rsidP="00910864">
            <w:pPr>
              <w:widowControl w:val="0"/>
              <w:spacing w:before="120" w:after="120"/>
              <w:jc w:val="center"/>
              <w:rPr>
                <w:sz w:val="22"/>
                <w:lang w:eastAsia="lv-LV"/>
              </w:rPr>
            </w:pPr>
            <w:r>
              <w:rPr>
                <w:sz w:val="22"/>
                <w:lang w:eastAsia="lv-LV"/>
              </w:rPr>
              <w:t>5</w:t>
            </w:r>
          </w:p>
        </w:tc>
        <w:tc>
          <w:tcPr>
            <w:tcW w:w="4426" w:type="pct"/>
            <w:shd w:val="clear" w:color="auto" w:fill="auto"/>
          </w:tcPr>
          <w:p w:rsidR="00F36F7E" w:rsidRDefault="00F36F7E" w:rsidP="00910864">
            <w:pPr>
              <w:widowControl w:val="0"/>
              <w:spacing w:before="120" w:after="120"/>
              <w:jc w:val="both"/>
              <w:rPr>
                <w:sz w:val="22"/>
                <w:szCs w:val="22"/>
                <w:lang w:eastAsia="lv-LV"/>
              </w:rPr>
            </w:pPr>
            <w:r w:rsidRPr="00541F0F">
              <w:rPr>
                <w:sz w:val="22"/>
                <w:szCs w:val="22"/>
                <w:lang w:eastAsia="lv-LV"/>
              </w:rPr>
              <w:t>Pretendentam ir īpašumā, tiesiskā valdījumā vai nomā 1.4. apakšpunktā</w:t>
            </w:r>
            <w:r>
              <w:rPr>
                <w:sz w:val="22"/>
                <w:szCs w:val="22"/>
                <w:lang w:eastAsia="lv-LV"/>
              </w:rPr>
              <w:t xml:space="preserve"> noteiktajām prasībām atbilstošs</w:t>
            </w:r>
            <w:r w:rsidRPr="00541F0F">
              <w:rPr>
                <w:sz w:val="22"/>
                <w:szCs w:val="22"/>
                <w:lang w:eastAsia="lv-LV"/>
              </w:rPr>
              <w:t xml:space="preserve"> vismaz </w:t>
            </w:r>
            <w:r>
              <w:rPr>
                <w:sz w:val="22"/>
                <w:szCs w:val="22"/>
                <w:lang w:eastAsia="lv-LV"/>
              </w:rPr>
              <w:t>1</w:t>
            </w:r>
            <w:r w:rsidRPr="00541F0F">
              <w:rPr>
                <w:sz w:val="22"/>
                <w:szCs w:val="22"/>
                <w:lang w:eastAsia="lv-LV"/>
              </w:rPr>
              <w:t xml:space="preserve"> (</w:t>
            </w:r>
            <w:r>
              <w:rPr>
                <w:sz w:val="22"/>
                <w:szCs w:val="22"/>
                <w:lang w:eastAsia="lv-LV"/>
              </w:rPr>
              <w:t>viens</w:t>
            </w:r>
            <w:r w:rsidRPr="00541F0F">
              <w:rPr>
                <w:sz w:val="22"/>
                <w:szCs w:val="22"/>
                <w:lang w:eastAsia="lv-LV"/>
              </w:rPr>
              <w:t>) transport</w:t>
            </w:r>
            <w:r>
              <w:rPr>
                <w:sz w:val="22"/>
                <w:szCs w:val="22"/>
                <w:lang w:eastAsia="lv-LV"/>
              </w:rPr>
              <w:t xml:space="preserve">līdzeklis, kas tiks izmantots </w:t>
            </w:r>
            <w:r w:rsidRPr="00400B59">
              <w:rPr>
                <w:sz w:val="22"/>
                <w:szCs w:val="22"/>
                <w:lang w:eastAsia="lv-LV"/>
              </w:rPr>
              <w:t>Tehniskajās specifikācijās norādīto darbu izpildei</w:t>
            </w:r>
          </w:p>
        </w:tc>
      </w:tr>
      <w:tr w:rsidR="00F36F7E" w:rsidRPr="00274A23" w:rsidTr="00910864">
        <w:trPr>
          <w:trHeight w:val="338"/>
        </w:trPr>
        <w:tc>
          <w:tcPr>
            <w:tcW w:w="574" w:type="pct"/>
            <w:shd w:val="clear" w:color="auto" w:fill="auto"/>
            <w:vAlign w:val="center"/>
          </w:tcPr>
          <w:p w:rsidR="00F36F7E" w:rsidRPr="00274A23" w:rsidRDefault="00F36F7E" w:rsidP="00910864">
            <w:pPr>
              <w:widowControl w:val="0"/>
              <w:spacing w:before="120" w:after="120"/>
              <w:jc w:val="center"/>
              <w:rPr>
                <w:sz w:val="22"/>
                <w:lang w:eastAsia="lv-LV"/>
              </w:rPr>
            </w:pPr>
            <w:r>
              <w:rPr>
                <w:sz w:val="22"/>
                <w:lang w:eastAsia="lv-LV"/>
              </w:rPr>
              <w:t>0</w:t>
            </w:r>
          </w:p>
        </w:tc>
        <w:tc>
          <w:tcPr>
            <w:tcW w:w="4426" w:type="pct"/>
            <w:shd w:val="clear" w:color="auto" w:fill="auto"/>
          </w:tcPr>
          <w:p w:rsidR="00F36F7E" w:rsidRPr="00790AC4" w:rsidRDefault="00F36F7E" w:rsidP="00910864">
            <w:pPr>
              <w:widowControl w:val="0"/>
              <w:spacing w:before="120" w:after="120"/>
              <w:jc w:val="both"/>
              <w:rPr>
                <w:sz w:val="22"/>
                <w:szCs w:val="22"/>
                <w:lang w:eastAsia="lv-LV"/>
              </w:rPr>
            </w:pPr>
            <w:r>
              <w:rPr>
                <w:sz w:val="22"/>
                <w:szCs w:val="22"/>
                <w:lang w:eastAsia="lv-LV"/>
              </w:rPr>
              <w:t>Iesniegtā informācija par Pretendenta rīcībā esošo tehnisko nodrošinājumu neapliecina atbilstību 1.4. apakšpunktā noteiktajai prasībai</w:t>
            </w:r>
          </w:p>
        </w:tc>
      </w:tr>
    </w:tbl>
    <w:p w:rsidR="00F36F7E" w:rsidRPr="00021796" w:rsidRDefault="00F36F7E" w:rsidP="00F36F7E">
      <w:pPr>
        <w:pStyle w:val="NoSpacing"/>
        <w:jc w:val="both"/>
        <w:rPr>
          <w:rFonts w:ascii="Times New Roman" w:hAnsi="Times New Roman"/>
        </w:rPr>
      </w:pPr>
    </w:p>
    <w:p w:rsidR="00F36F7E" w:rsidRDefault="00F36F7E" w:rsidP="00F36F7E">
      <w:pPr>
        <w:pStyle w:val="NoSpacing"/>
        <w:rPr>
          <w:rFonts w:ascii="Times New Roman" w:hAnsi="Times New Roman"/>
        </w:rPr>
      </w:pPr>
      <w:r w:rsidRPr="001F7890">
        <w:rPr>
          <w:rFonts w:ascii="Times New Roman" w:hAnsi="Times New Roman"/>
        </w:rPr>
        <w:t xml:space="preserve">Maksimāli pēc šī vērtēšanas kritērija var tikt piešķirti </w:t>
      </w:r>
      <w:r>
        <w:rPr>
          <w:rFonts w:ascii="Times New Roman" w:hAnsi="Times New Roman"/>
          <w:b/>
          <w:bCs/>
        </w:rPr>
        <w:t>10</w:t>
      </w:r>
      <w:r w:rsidRPr="001F7890">
        <w:rPr>
          <w:rFonts w:ascii="Times New Roman" w:hAnsi="Times New Roman"/>
          <w:b/>
          <w:bCs/>
        </w:rPr>
        <w:t xml:space="preserve"> </w:t>
      </w:r>
      <w:r w:rsidRPr="001F7890">
        <w:rPr>
          <w:rFonts w:ascii="Times New Roman" w:hAnsi="Times New Roman"/>
        </w:rPr>
        <w:t>punkti</w:t>
      </w:r>
      <w:r>
        <w:rPr>
          <w:rFonts w:ascii="Times New Roman" w:hAnsi="Times New Roman"/>
        </w:rPr>
        <w:t>.</w:t>
      </w:r>
    </w:p>
    <w:p w:rsidR="00F36F7E" w:rsidRDefault="00F36F7E" w:rsidP="00F36F7E">
      <w:pPr>
        <w:overflowPunct w:val="0"/>
        <w:autoSpaceDE w:val="0"/>
        <w:autoSpaceDN w:val="0"/>
        <w:jc w:val="both"/>
        <w:textAlignment w:val="baseline"/>
        <w:rPr>
          <w:sz w:val="22"/>
          <w:szCs w:val="22"/>
        </w:rPr>
      </w:pPr>
    </w:p>
    <w:p w:rsidR="00F36F7E" w:rsidRPr="000A6132" w:rsidRDefault="00F36F7E" w:rsidP="00F36F7E">
      <w:pPr>
        <w:pStyle w:val="NoSpacing"/>
        <w:numPr>
          <w:ilvl w:val="1"/>
          <w:numId w:val="2"/>
        </w:numPr>
        <w:tabs>
          <w:tab w:val="clear" w:pos="360"/>
          <w:tab w:val="num" w:pos="0"/>
        </w:tabs>
        <w:ind w:left="0" w:firstLine="0"/>
        <w:jc w:val="both"/>
        <w:rPr>
          <w:rFonts w:ascii="Times New Roman" w:hAnsi="Times New Roman"/>
        </w:rPr>
      </w:pPr>
      <w:r w:rsidRPr="00CF011A">
        <w:rPr>
          <w:rFonts w:ascii="Times New Roman" w:hAnsi="Times New Roman"/>
          <w:b/>
        </w:rPr>
        <w:t>K</w:t>
      </w:r>
      <w:r>
        <w:rPr>
          <w:rFonts w:ascii="Times New Roman" w:hAnsi="Times New Roman"/>
          <w:b/>
        </w:rPr>
        <w:t>5</w:t>
      </w:r>
      <w:r w:rsidRPr="00CF011A">
        <w:rPr>
          <w:rFonts w:ascii="Times New Roman" w:hAnsi="Times New Roman"/>
        </w:rPr>
        <w:t xml:space="preserve"> - Vērtēšanas kritērijs: </w:t>
      </w:r>
      <w:r w:rsidRPr="005E6432">
        <w:rPr>
          <w:rFonts w:ascii="Times New Roman" w:hAnsi="Times New Roman"/>
          <w:b/>
          <w:u w:val="single"/>
        </w:rPr>
        <w:t>Studiju prakses ietvaros nodarbinātas personas</w:t>
      </w:r>
      <w:r w:rsidRPr="009E3430">
        <w:rPr>
          <w:rFonts w:ascii="Times New Roman" w:hAnsi="Times New Roman"/>
          <w:u w:val="single"/>
        </w:rPr>
        <w:t>.</w:t>
      </w:r>
      <w:r w:rsidRPr="00CF011A">
        <w:rPr>
          <w:rFonts w:ascii="Times New Roman" w:hAnsi="Times New Roman"/>
        </w:rPr>
        <w:t xml:space="preserve"> Vērtēšanā tik</w:t>
      </w:r>
      <w:r>
        <w:rPr>
          <w:rFonts w:ascii="Times New Roman" w:hAnsi="Times New Roman"/>
        </w:rPr>
        <w:t>s</w:t>
      </w:r>
      <w:r w:rsidRPr="00CF011A">
        <w:rPr>
          <w:rFonts w:ascii="Times New Roman" w:hAnsi="Times New Roman"/>
        </w:rPr>
        <w:t xml:space="preserve"> izmantot</w:t>
      </w:r>
      <w:r>
        <w:rPr>
          <w:rFonts w:ascii="Times New Roman" w:hAnsi="Times New Roman"/>
        </w:rPr>
        <w:t xml:space="preserve">i pretendentu iesniegtie dokumenti, kas pierāda, ka Pretendents iepriekšējo 3 (trīs) gadu laikā (t.i. 2015., 2016. un 2017., </w:t>
      </w:r>
      <w:r w:rsidRPr="00B63512">
        <w:rPr>
          <w:rFonts w:ascii="Times New Roman" w:hAnsi="Times New Roman"/>
        </w:rPr>
        <w:t xml:space="preserve">papildus ņemot vērā arī </w:t>
      </w:r>
      <w:r>
        <w:rPr>
          <w:rFonts w:ascii="Times New Roman" w:hAnsi="Times New Roman"/>
        </w:rPr>
        <w:t>2018</w:t>
      </w:r>
      <w:r w:rsidRPr="00B63512">
        <w:rPr>
          <w:rFonts w:ascii="Times New Roman" w:hAnsi="Times New Roman"/>
        </w:rPr>
        <w:t>. gadu)</w:t>
      </w:r>
      <w:r>
        <w:rPr>
          <w:rFonts w:ascii="Times New Roman" w:hAnsi="Times New Roman"/>
        </w:rPr>
        <w:t xml:space="preserve"> ir nodrošinājis mācību praksi uzņēmumā elektromontāžas jomā studentiem/ praktikantiem mācību prakses ietvaros, pamatojoties uz trīspusēji noslēgtu sadarbības līgumu starp mācību iestādi, praktikantu un Pretendentu, un katram praktikantam nodrošinātais prakses ilgums viena līguma ietvaros ir bijis vismaz 2 (divi) mēneši. </w:t>
      </w:r>
    </w:p>
    <w:p w:rsidR="00F36F7E" w:rsidRDefault="00F36F7E" w:rsidP="00F36F7E">
      <w:pPr>
        <w:pStyle w:val="NoSpacing"/>
        <w:jc w:val="both"/>
        <w:rPr>
          <w:rFonts w:ascii="Times New Roman" w:hAnsi="Times New Roman"/>
        </w:rPr>
      </w:pPr>
      <w:r>
        <w:rPr>
          <w:rFonts w:ascii="Times New Roman" w:hAnsi="Times New Roman"/>
        </w:rPr>
        <w:t xml:space="preserve">Lai kvalificētos </w:t>
      </w:r>
      <w:r w:rsidRPr="000A6132">
        <w:rPr>
          <w:rFonts w:ascii="Times New Roman" w:hAnsi="Times New Roman"/>
          <w:b/>
        </w:rPr>
        <w:t>K</w:t>
      </w:r>
      <w:r>
        <w:rPr>
          <w:rFonts w:ascii="Times New Roman" w:hAnsi="Times New Roman"/>
          <w:b/>
        </w:rPr>
        <w:t>5</w:t>
      </w:r>
      <w:r>
        <w:rPr>
          <w:rFonts w:ascii="Times New Roman" w:hAnsi="Times New Roman"/>
        </w:rPr>
        <w:t xml:space="preserve"> kritērija vērtēšanai un pierādītu atbilstību, Pretendents iesniedz dokumentus, kas pierāda 1.5. apakšpunktā noteikto prasību izpildi, piemēram, līguma kopiju starp mācību iestādi, praktikantu un Pretendentu vai izziņu no izglītības iestādes, un kas satur nepieciešamo informāciju, lai pierādītu atbilstību 1.5. apakšpunktā noteiktajām prasībām.</w:t>
      </w:r>
    </w:p>
    <w:p w:rsidR="00F36F7E" w:rsidRDefault="00F36F7E" w:rsidP="00F36F7E">
      <w:pPr>
        <w:pStyle w:val="NoSpacing"/>
        <w:jc w:val="both"/>
        <w:rPr>
          <w:rFonts w:ascii="Times New Roman" w:hAnsi="Times New Roman"/>
        </w:rPr>
      </w:pPr>
    </w:p>
    <w:p w:rsidR="00F36F7E" w:rsidRDefault="00F36F7E" w:rsidP="00F36F7E">
      <w:pPr>
        <w:pStyle w:val="NoSpacing"/>
        <w:jc w:val="both"/>
        <w:rPr>
          <w:rFonts w:ascii="Times New Roman" w:hAnsi="Times New Roman"/>
        </w:rPr>
      </w:pPr>
      <w:r>
        <w:rPr>
          <w:rFonts w:ascii="Times New Roman" w:hAnsi="Times New Roman"/>
        </w:rPr>
        <w:t xml:space="preserve">Punkti </w:t>
      </w:r>
      <w:r w:rsidRPr="00523C67">
        <w:rPr>
          <w:rFonts w:ascii="Times New Roman" w:hAnsi="Times New Roman"/>
        </w:rPr>
        <w:t>tiek aprēķināti pēc formulas:</w:t>
      </w:r>
    </w:p>
    <w:p w:rsidR="00F36F7E" w:rsidRPr="00021796" w:rsidRDefault="00F36F7E" w:rsidP="00F36F7E">
      <w:pPr>
        <w:jc w:val="both"/>
        <w:rPr>
          <w:sz w:val="22"/>
          <w:szCs w:val="22"/>
        </w:rPr>
      </w:pPr>
      <w:r>
        <w:rPr>
          <w:sz w:val="22"/>
          <w:szCs w:val="22"/>
        </w:rPr>
        <w:t>K5 = 1</w:t>
      </w:r>
      <w:r w:rsidRPr="00021796">
        <w:rPr>
          <w:sz w:val="22"/>
          <w:szCs w:val="22"/>
        </w:rPr>
        <w:t xml:space="preserve"> x </w:t>
      </w:r>
      <w:proofErr w:type="spellStart"/>
      <w:r>
        <w:rPr>
          <w:sz w:val="22"/>
          <w:szCs w:val="22"/>
        </w:rPr>
        <w:t>S</w:t>
      </w:r>
      <w:r w:rsidRPr="005E6432">
        <w:rPr>
          <w:sz w:val="22"/>
          <w:szCs w:val="22"/>
          <w:vertAlign w:val="subscript"/>
        </w:rPr>
        <w:t>sk</w:t>
      </w:r>
      <w:proofErr w:type="spellEnd"/>
      <w:r w:rsidRPr="00021796">
        <w:rPr>
          <w:sz w:val="22"/>
          <w:szCs w:val="22"/>
        </w:rPr>
        <w:t>, kur</w:t>
      </w:r>
    </w:p>
    <w:p w:rsidR="00F36F7E" w:rsidRPr="00021796" w:rsidRDefault="00F36F7E" w:rsidP="00F36F7E">
      <w:pPr>
        <w:jc w:val="both"/>
        <w:rPr>
          <w:sz w:val="22"/>
          <w:szCs w:val="22"/>
        </w:rPr>
      </w:pPr>
      <w:r>
        <w:rPr>
          <w:sz w:val="22"/>
          <w:szCs w:val="22"/>
        </w:rPr>
        <w:t>K5</w:t>
      </w:r>
      <w:r w:rsidRPr="00021796">
        <w:rPr>
          <w:sz w:val="22"/>
          <w:szCs w:val="22"/>
        </w:rPr>
        <w:t xml:space="preserve"> – kritērija novērtējuma rezultāts;</w:t>
      </w:r>
    </w:p>
    <w:p w:rsidR="00F36F7E" w:rsidRPr="00021796" w:rsidRDefault="00F36F7E" w:rsidP="00F36F7E">
      <w:pPr>
        <w:jc w:val="both"/>
        <w:rPr>
          <w:sz w:val="22"/>
          <w:szCs w:val="22"/>
        </w:rPr>
      </w:pPr>
      <w:r>
        <w:rPr>
          <w:sz w:val="22"/>
          <w:szCs w:val="22"/>
        </w:rPr>
        <w:t>1</w:t>
      </w:r>
      <w:r w:rsidRPr="00021796">
        <w:rPr>
          <w:sz w:val="22"/>
          <w:szCs w:val="22"/>
        </w:rPr>
        <w:t xml:space="preserve"> – kritērijam noteiktais iegūstamo punktu skaits</w:t>
      </w:r>
      <w:r>
        <w:rPr>
          <w:sz w:val="22"/>
          <w:szCs w:val="22"/>
        </w:rPr>
        <w:t xml:space="preserve"> par katru personu, kas atbilst 1.5. apakšpunktā noteiktajām prasībām</w:t>
      </w:r>
      <w:r w:rsidRPr="00021796">
        <w:rPr>
          <w:sz w:val="22"/>
          <w:szCs w:val="22"/>
        </w:rPr>
        <w:t xml:space="preserve">; </w:t>
      </w:r>
    </w:p>
    <w:p w:rsidR="00F36F7E" w:rsidRPr="00D22641" w:rsidRDefault="00F36F7E" w:rsidP="00F36F7E">
      <w:pPr>
        <w:jc w:val="both"/>
        <w:rPr>
          <w:sz w:val="22"/>
          <w:szCs w:val="22"/>
        </w:rPr>
      </w:pPr>
      <w:proofErr w:type="spellStart"/>
      <w:r w:rsidRPr="00D22641">
        <w:rPr>
          <w:sz w:val="22"/>
          <w:szCs w:val="22"/>
        </w:rPr>
        <w:t>S</w:t>
      </w:r>
      <w:r w:rsidRPr="005E6432">
        <w:rPr>
          <w:sz w:val="22"/>
          <w:szCs w:val="22"/>
          <w:vertAlign w:val="subscript"/>
        </w:rPr>
        <w:t>sk</w:t>
      </w:r>
      <w:proofErr w:type="spellEnd"/>
      <w:r w:rsidRPr="00D22641">
        <w:rPr>
          <w:sz w:val="22"/>
          <w:szCs w:val="22"/>
        </w:rPr>
        <w:t xml:space="preserve"> – vērtējamā piedāvājumā norādītais personu skaits, kas atbilst </w:t>
      </w:r>
      <w:r>
        <w:rPr>
          <w:sz w:val="22"/>
          <w:szCs w:val="22"/>
        </w:rPr>
        <w:t>1.5. apakšpunktā noteiktajām prasībām, tomēr ne vairāk par 10. Ja nodarbināto personu skaits ir vairāk par 10, tad kritērija K5 punktu aprēķinā tiek izmantots S</w:t>
      </w:r>
      <w:r w:rsidRPr="005E6432">
        <w:rPr>
          <w:sz w:val="22"/>
          <w:szCs w:val="22"/>
          <w:vertAlign w:val="subscript"/>
        </w:rPr>
        <w:t>sk</w:t>
      </w:r>
      <w:r>
        <w:rPr>
          <w:sz w:val="22"/>
          <w:szCs w:val="22"/>
        </w:rPr>
        <w:t>=10)</w:t>
      </w:r>
      <w:r w:rsidRPr="00D22641">
        <w:rPr>
          <w:sz w:val="22"/>
          <w:szCs w:val="22"/>
        </w:rPr>
        <w:t>.</w:t>
      </w:r>
    </w:p>
    <w:p w:rsidR="00F36F7E" w:rsidRDefault="00F36F7E" w:rsidP="00F36F7E">
      <w:pPr>
        <w:pStyle w:val="NoSpacing"/>
        <w:jc w:val="both"/>
        <w:rPr>
          <w:rFonts w:ascii="Times New Roman" w:hAnsi="Times New Roman"/>
        </w:rPr>
      </w:pPr>
    </w:p>
    <w:p w:rsidR="00F36F7E" w:rsidRDefault="00F36F7E" w:rsidP="00F36F7E">
      <w:pPr>
        <w:pStyle w:val="NoSpacing"/>
        <w:rPr>
          <w:rFonts w:ascii="Times New Roman" w:hAnsi="Times New Roman"/>
        </w:rPr>
      </w:pPr>
      <w:r w:rsidRPr="001F7890">
        <w:rPr>
          <w:rFonts w:ascii="Times New Roman" w:hAnsi="Times New Roman"/>
        </w:rPr>
        <w:t xml:space="preserve">Maksimāli pēc šī vērtēšanas kritērija var tikt piešķirti </w:t>
      </w:r>
      <w:r>
        <w:rPr>
          <w:rFonts w:ascii="Times New Roman" w:hAnsi="Times New Roman"/>
          <w:b/>
          <w:bCs/>
        </w:rPr>
        <w:t>10</w:t>
      </w:r>
      <w:r w:rsidRPr="001F7890">
        <w:rPr>
          <w:rFonts w:ascii="Times New Roman" w:hAnsi="Times New Roman"/>
          <w:b/>
          <w:bCs/>
        </w:rPr>
        <w:t xml:space="preserve"> </w:t>
      </w:r>
      <w:r w:rsidRPr="001F7890">
        <w:rPr>
          <w:rFonts w:ascii="Times New Roman" w:hAnsi="Times New Roman"/>
        </w:rPr>
        <w:t>punkti</w:t>
      </w:r>
      <w:r>
        <w:rPr>
          <w:rFonts w:ascii="Times New Roman" w:hAnsi="Times New Roman"/>
        </w:rPr>
        <w:t>.</w:t>
      </w:r>
    </w:p>
    <w:p w:rsidR="00F36F7E" w:rsidRDefault="00F36F7E" w:rsidP="00F36F7E">
      <w:pPr>
        <w:overflowPunct w:val="0"/>
        <w:autoSpaceDE w:val="0"/>
        <w:autoSpaceDN w:val="0"/>
        <w:jc w:val="both"/>
        <w:textAlignment w:val="baseline"/>
        <w:rPr>
          <w:sz w:val="22"/>
          <w:szCs w:val="22"/>
        </w:rPr>
      </w:pPr>
    </w:p>
    <w:p w:rsidR="00F36F7E" w:rsidRPr="001F7890" w:rsidRDefault="00F36F7E" w:rsidP="00F36F7E">
      <w:pPr>
        <w:overflowPunct w:val="0"/>
        <w:autoSpaceDE w:val="0"/>
        <w:autoSpaceDN w:val="0"/>
        <w:jc w:val="both"/>
        <w:textAlignment w:val="baseline"/>
        <w:rPr>
          <w:sz w:val="22"/>
          <w:szCs w:val="22"/>
        </w:rPr>
      </w:pPr>
    </w:p>
    <w:p w:rsidR="00F36F7E" w:rsidRDefault="00F36F7E" w:rsidP="00F36F7E">
      <w:pPr>
        <w:numPr>
          <w:ilvl w:val="0"/>
          <w:numId w:val="2"/>
        </w:numPr>
        <w:tabs>
          <w:tab w:val="left" w:pos="0"/>
        </w:tabs>
        <w:overflowPunct w:val="0"/>
        <w:autoSpaceDE w:val="0"/>
        <w:autoSpaceDN w:val="0"/>
        <w:adjustRightInd w:val="0"/>
        <w:ind w:right="-6"/>
        <w:jc w:val="both"/>
        <w:textAlignment w:val="baseline"/>
        <w:rPr>
          <w:bCs/>
          <w:sz w:val="22"/>
          <w:szCs w:val="22"/>
        </w:rPr>
      </w:pPr>
      <w:r w:rsidRPr="001F7890">
        <w:rPr>
          <w:bCs/>
          <w:sz w:val="22"/>
          <w:szCs w:val="22"/>
        </w:rPr>
        <w:t xml:space="preserve">Par saimnieciski izdevīgāko piedāvājumu Komisija atzīst tā Pretendenta piedāvājumu, kas vērtēšanā saņem </w:t>
      </w:r>
      <w:r>
        <w:rPr>
          <w:bCs/>
          <w:sz w:val="22"/>
          <w:szCs w:val="22"/>
        </w:rPr>
        <w:t xml:space="preserve">kritēriju (K1, K2, K3, K4, K5) vērtējumu kopsummā </w:t>
      </w:r>
      <w:r w:rsidRPr="001F7890">
        <w:rPr>
          <w:bCs/>
          <w:sz w:val="22"/>
          <w:szCs w:val="22"/>
        </w:rPr>
        <w:t>visaugstāko punktu novērtējumu.</w:t>
      </w:r>
    </w:p>
    <w:p w:rsidR="00F36F7E" w:rsidRPr="007F5360" w:rsidRDefault="00F36F7E" w:rsidP="00F36F7E">
      <w:pPr>
        <w:numPr>
          <w:ilvl w:val="0"/>
          <w:numId w:val="2"/>
        </w:numPr>
        <w:tabs>
          <w:tab w:val="left" w:pos="0"/>
        </w:tabs>
        <w:overflowPunct w:val="0"/>
        <w:autoSpaceDE w:val="0"/>
        <w:autoSpaceDN w:val="0"/>
        <w:adjustRightInd w:val="0"/>
        <w:ind w:right="-6"/>
        <w:jc w:val="both"/>
        <w:textAlignment w:val="baseline"/>
        <w:rPr>
          <w:bCs/>
          <w:sz w:val="22"/>
          <w:szCs w:val="22"/>
        </w:rPr>
      </w:pPr>
      <w:r w:rsidRPr="007F5360">
        <w:rPr>
          <w:sz w:val="22"/>
          <w:szCs w:val="22"/>
        </w:rPr>
        <w:t xml:space="preserve">Ja gadījumā diviem Pretendentiem ir vienāds augstākais </w:t>
      </w:r>
      <w:r>
        <w:rPr>
          <w:sz w:val="22"/>
          <w:szCs w:val="22"/>
        </w:rPr>
        <w:t xml:space="preserve">kopējais </w:t>
      </w:r>
      <w:r w:rsidRPr="007F5360">
        <w:rPr>
          <w:sz w:val="22"/>
          <w:szCs w:val="22"/>
        </w:rPr>
        <w:t xml:space="preserve">punktu novērtējums, tad Komisija izvēlās to Pretendentu, kurš saņēma vairāk punktus </w:t>
      </w:r>
      <w:r>
        <w:rPr>
          <w:b/>
          <w:sz w:val="22"/>
          <w:szCs w:val="22"/>
        </w:rPr>
        <w:t>K1</w:t>
      </w:r>
      <w:r>
        <w:rPr>
          <w:sz w:val="22"/>
          <w:szCs w:val="22"/>
        </w:rPr>
        <w:t xml:space="preserve"> kritēri</w:t>
      </w:r>
      <w:r w:rsidRPr="007F5360">
        <w:rPr>
          <w:sz w:val="22"/>
          <w:szCs w:val="22"/>
        </w:rPr>
        <w:t xml:space="preserve">jā. </w:t>
      </w:r>
    </w:p>
    <w:p w:rsidR="001F48F2" w:rsidRDefault="001F48F2" w:rsidP="00F36F7E">
      <w:bookmarkStart w:id="1" w:name="_GoBack"/>
      <w:bookmarkEnd w:id="1"/>
    </w:p>
    <w:sectPr w:rsidR="001F48F2" w:rsidSect="005D41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BA"/>
    <w:family w:val="roman"/>
    <w:pitch w:val="variable"/>
    <w:sig w:usb0="E00006FF" w:usb1="400004FF" w:usb2="00000000" w:usb3="00000000" w:csb0="0000019F" w:csb1="00000000"/>
  </w:font>
  <w:font w:name="RimTime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92190"/>
    <w:multiLevelType w:val="multilevel"/>
    <w:tmpl w:val="45C4BC4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strike w:val="0"/>
        <w:dstrike w:val="0"/>
        <w:vertAlign w:val="baseline"/>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E4160DA"/>
    <w:multiLevelType w:val="multilevel"/>
    <w:tmpl w:val="68D04D90"/>
    <w:lvl w:ilvl="0">
      <w:start w:val="1"/>
      <w:numFmt w:val="decimal"/>
      <w:pStyle w:val="Heading1"/>
      <w:lvlText w:val="%1."/>
      <w:lvlJc w:val="left"/>
      <w:pPr>
        <w:tabs>
          <w:tab w:val="num" w:pos="2629"/>
        </w:tabs>
        <w:ind w:left="2629"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B7"/>
    <w:rsid w:val="001F48F2"/>
    <w:rsid w:val="005D41B3"/>
    <w:rsid w:val="006303B7"/>
    <w:rsid w:val="00682517"/>
    <w:rsid w:val="00F36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F7E"/>
    <w:pPr>
      <w:spacing w:after="0" w:line="240" w:lineRule="auto"/>
    </w:pPr>
    <w:rPr>
      <w:rFonts w:ascii="Times New Roman" w:eastAsia="Times New Roman" w:hAnsi="Times New Roman" w:cs="Times New Roman"/>
      <w:sz w:val="20"/>
      <w:szCs w:val="20"/>
      <w:lang w:val="lv-LV"/>
    </w:rPr>
  </w:style>
  <w:style w:type="paragraph" w:styleId="Heading1">
    <w:name w:val="heading 1"/>
    <w:aliases w:val="Section Heading,heading1,Antraste 1,h1,Section Heading Char,heading1 Char,Antraste 1 Char,h1 Char,H1,Virsraksts 1"/>
    <w:basedOn w:val="Normal"/>
    <w:next w:val="Normal"/>
    <w:link w:val="Heading1Char1"/>
    <w:qFormat/>
    <w:rsid w:val="00F36F7E"/>
    <w:pPr>
      <w:keepNext/>
      <w:numPr>
        <w:numId w:val="1"/>
      </w:numPr>
      <w:jc w:val="center"/>
      <w:outlineLvl w:val="0"/>
    </w:pPr>
    <w:rPr>
      <w:rFonts w:ascii="Times New Roman Bold" w:hAnsi="Times New Roman Bold"/>
      <w:b/>
      <w:smallCaps/>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36F7E"/>
    <w:rPr>
      <w:rFonts w:asciiTheme="majorHAnsi" w:eastAsiaTheme="majorEastAsia" w:hAnsiTheme="majorHAnsi" w:cstheme="majorBidi"/>
      <w:b/>
      <w:bCs/>
      <w:color w:val="365F91" w:themeColor="accent1" w:themeShade="BF"/>
      <w:sz w:val="28"/>
      <w:szCs w:val="28"/>
      <w:lang w:val="lv-LV"/>
    </w:rPr>
  </w:style>
  <w:style w:type="paragraph" w:styleId="BodyText">
    <w:name w:val="Body Text"/>
    <w:aliases w:val="b,uvlaka 3,plain,plain Char,b1,uvlaka 31, uvlaka 3, uvlaka 31,Body Text Char1,Body Text Char Char,Body Text1"/>
    <w:basedOn w:val="Normal"/>
    <w:link w:val="BodyTextChar2"/>
    <w:rsid w:val="00F36F7E"/>
    <w:pPr>
      <w:widowControl w:val="0"/>
      <w:spacing w:after="120"/>
    </w:pPr>
    <w:rPr>
      <w:rFonts w:ascii="RimTimes" w:hAnsi="RimTimes"/>
      <w:sz w:val="24"/>
    </w:rPr>
  </w:style>
  <w:style w:type="character" w:customStyle="1" w:styleId="BodyTextChar">
    <w:name w:val="Body Text Char"/>
    <w:basedOn w:val="DefaultParagraphFont"/>
    <w:uiPriority w:val="99"/>
    <w:semiHidden/>
    <w:rsid w:val="00F36F7E"/>
    <w:rPr>
      <w:rFonts w:ascii="Times New Roman" w:eastAsia="Times New Roman" w:hAnsi="Times New Roman" w:cs="Times New Roman"/>
      <w:sz w:val="20"/>
      <w:szCs w:val="20"/>
      <w:lang w:val="lv-LV"/>
    </w:rPr>
  </w:style>
  <w:style w:type="character" w:customStyle="1" w:styleId="Heading1Char1">
    <w:name w:val="Heading 1 Char1"/>
    <w:aliases w:val="Section Heading Char1,heading1 Char1,Antraste 1 Char1,h1 Char1,Heading 1 Char Char,Section Heading Char Char,heading1 Char Char,Antraste 1 Char Char,h1 Char Char,H1 Char,Virsraksts 1 Char"/>
    <w:link w:val="Heading1"/>
    <w:rsid w:val="00F36F7E"/>
    <w:rPr>
      <w:rFonts w:ascii="Times New Roman Bold" w:eastAsia="Times New Roman" w:hAnsi="Times New Roman Bold" w:cs="Times New Roman"/>
      <w:b/>
      <w:smallCaps/>
      <w:sz w:val="24"/>
      <w:szCs w:val="20"/>
      <w:lang w:val="x-none"/>
    </w:rPr>
  </w:style>
  <w:style w:type="character" w:customStyle="1" w:styleId="BodyTextChar2">
    <w:name w:val="Body Text Char2"/>
    <w:aliases w:val="b Char,uvlaka 3 Char,plain Char1,plain Char Char,b1 Char,uvlaka 31 Char1, uvlaka 3 Char1, uvlaka 31 Char1,Body Text Char1 Char,Body Text Char Char Char,Body Text1 Char"/>
    <w:link w:val="BodyText"/>
    <w:locked/>
    <w:rsid w:val="00F36F7E"/>
    <w:rPr>
      <w:rFonts w:ascii="RimTimes" w:eastAsia="Times New Roman" w:hAnsi="RimTimes" w:cs="Times New Roman"/>
      <w:sz w:val="24"/>
      <w:szCs w:val="20"/>
      <w:lang w:val="lv-LV"/>
    </w:rPr>
  </w:style>
  <w:style w:type="paragraph" w:styleId="NoSpacing">
    <w:name w:val="No Spacing"/>
    <w:uiPriority w:val="1"/>
    <w:qFormat/>
    <w:rsid w:val="00F36F7E"/>
    <w:pPr>
      <w:spacing w:after="0" w:line="240" w:lineRule="auto"/>
    </w:pPr>
    <w:rPr>
      <w:rFonts w:ascii="Calibri" w:eastAsia="Calibri" w:hAnsi="Calibri" w:cs="Times New Roman"/>
      <w:lang w:val="lv-LV"/>
    </w:rPr>
  </w:style>
  <w:style w:type="character" w:customStyle="1" w:styleId="2115pt">
    <w:name w:val="Основной текст (2) + 11.5 pt"/>
    <w:rsid w:val="00F36F7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F7E"/>
    <w:pPr>
      <w:spacing w:after="0" w:line="240" w:lineRule="auto"/>
    </w:pPr>
    <w:rPr>
      <w:rFonts w:ascii="Times New Roman" w:eastAsia="Times New Roman" w:hAnsi="Times New Roman" w:cs="Times New Roman"/>
      <w:sz w:val="20"/>
      <w:szCs w:val="20"/>
      <w:lang w:val="lv-LV"/>
    </w:rPr>
  </w:style>
  <w:style w:type="paragraph" w:styleId="Heading1">
    <w:name w:val="heading 1"/>
    <w:aliases w:val="Section Heading,heading1,Antraste 1,h1,Section Heading Char,heading1 Char,Antraste 1 Char,h1 Char,H1,Virsraksts 1"/>
    <w:basedOn w:val="Normal"/>
    <w:next w:val="Normal"/>
    <w:link w:val="Heading1Char1"/>
    <w:qFormat/>
    <w:rsid w:val="00F36F7E"/>
    <w:pPr>
      <w:keepNext/>
      <w:numPr>
        <w:numId w:val="1"/>
      </w:numPr>
      <w:jc w:val="center"/>
      <w:outlineLvl w:val="0"/>
    </w:pPr>
    <w:rPr>
      <w:rFonts w:ascii="Times New Roman Bold" w:hAnsi="Times New Roman Bold"/>
      <w:b/>
      <w:smallCaps/>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36F7E"/>
    <w:rPr>
      <w:rFonts w:asciiTheme="majorHAnsi" w:eastAsiaTheme="majorEastAsia" w:hAnsiTheme="majorHAnsi" w:cstheme="majorBidi"/>
      <w:b/>
      <w:bCs/>
      <w:color w:val="365F91" w:themeColor="accent1" w:themeShade="BF"/>
      <w:sz w:val="28"/>
      <w:szCs w:val="28"/>
      <w:lang w:val="lv-LV"/>
    </w:rPr>
  </w:style>
  <w:style w:type="paragraph" w:styleId="BodyText">
    <w:name w:val="Body Text"/>
    <w:aliases w:val="b,uvlaka 3,plain,plain Char,b1,uvlaka 31, uvlaka 3, uvlaka 31,Body Text Char1,Body Text Char Char,Body Text1"/>
    <w:basedOn w:val="Normal"/>
    <w:link w:val="BodyTextChar2"/>
    <w:rsid w:val="00F36F7E"/>
    <w:pPr>
      <w:widowControl w:val="0"/>
      <w:spacing w:after="120"/>
    </w:pPr>
    <w:rPr>
      <w:rFonts w:ascii="RimTimes" w:hAnsi="RimTimes"/>
      <w:sz w:val="24"/>
    </w:rPr>
  </w:style>
  <w:style w:type="character" w:customStyle="1" w:styleId="BodyTextChar">
    <w:name w:val="Body Text Char"/>
    <w:basedOn w:val="DefaultParagraphFont"/>
    <w:uiPriority w:val="99"/>
    <w:semiHidden/>
    <w:rsid w:val="00F36F7E"/>
    <w:rPr>
      <w:rFonts w:ascii="Times New Roman" w:eastAsia="Times New Roman" w:hAnsi="Times New Roman" w:cs="Times New Roman"/>
      <w:sz w:val="20"/>
      <w:szCs w:val="20"/>
      <w:lang w:val="lv-LV"/>
    </w:rPr>
  </w:style>
  <w:style w:type="character" w:customStyle="1" w:styleId="Heading1Char1">
    <w:name w:val="Heading 1 Char1"/>
    <w:aliases w:val="Section Heading Char1,heading1 Char1,Antraste 1 Char1,h1 Char1,Heading 1 Char Char,Section Heading Char Char,heading1 Char Char,Antraste 1 Char Char,h1 Char Char,H1 Char,Virsraksts 1 Char"/>
    <w:link w:val="Heading1"/>
    <w:rsid w:val="00F36F7E"/>
    <w:rPr>
      <w:rFonts w:ascii="Times New Roman Bold" w:eastAsia="Times New Roman" w:hAnsi="Times New Roman Bold" w:cs="Times New Roman"/>
      <w:b/>
      <w:smallCaps/>
      <w:sz w:val="24"/>
      <w:szCs w:val="20"/>
      <w:lang w:val="x-none"/>
    </w:rPr>
  </w:style>
  <w:style w:type="character" w:customStyle="1" w:styleId="BodyTextChar2">
    <w:name w:val="Body Text Char2"/>
    <w:aliases w:val="b Char,uvlaka 3 Char,plain Char1,plain Char Char,b1 Char,uvlaka 31 Char1, uvlaka 3 Char1, uvlaka 31 Char1,Body Text Char1 Char,Body Text Char Char Char,Body Text1 Char"/>
    <w:link w:val="BodyText"/>
    <w:locked/>
    <w:rsid w:val="00F36F7E"/>
    <w:rPr>
      <w:rFonts w:ascii="RimTimes" w:eastAsia="Times New Roman" w:hAnsi="RimTimes" w:cs="Times New Roman"/>
      <w:sz w:val="24"/>
      <w:szCs w:val="20"/>
      <w:lang w:val="lv-LV"/>
    </w:rPr>
  </w:style>
  <w:style w:type="paragraph" w:styleId="NoSpacing">
    <w:name w:val="No Spacing"/>
    <w:uiPriority w:val="1"/>
    <w:qFormat/>
    <w:rsid w:val="00F36F7E"/>
    <w:pPr>
      <w:spacing w:after="0" w:line="240" w:lineRule="auto"/>
    </w:pPr>
    <w:rPr>
      <w:rFonts w:ascii="Calibri" w:eastAsia="Calibri" w:hAnsi="Calibri" w:cs="Times New Roman"/>
      <w:lang w:val="lv-LV"/>
    </w:rPr>
  </w:style>
  <w:style w:type="character" w:customStyle="1" w:styleId="2115pt">
    <w:name w:val="Основной текст (2) + 11.5 pt"/>
    <w:rsid w:val="00F36F7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2018-03-15T11:56:00Z</dcterms:created>
  <dcterms:modified xsi:type="dcterms:W3CDTF">2018-03-15T11:57:00Z</dcterms:modified>
</cp:coreProperties>
</file>